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tbl>
      <w:tblPr>
        <w:tblpPr w:leftFromText="181" w:rightFromText="181" w:vertAnchor="page" w:horzAnchor="margin" w:tblpXSpec="center" w:tblpY="5444"/>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2"/>
        <w:gridCol w:w="4683"/>
      </w:tblGrid>
      <w:tr w:rsidTr="00BF1CCE">
        <w:tblPrEx>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5382" w:type="dxa"/>
            <w:shd w:val="clear" w:color="auto" w:fill="auto"/>
          </w:tcPr>
          <w:p w:rsidR="001073DC" w:rsidRPr="00D1305C" w:rsidP="00BF1CCE">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Is this report confidential?</w:t>
            </w:r>
          </w:p>
        </w:tc>
        <w:tc>
          <w:tcPr>
            <w:tcW w:w="4683" w:type="dxa"/>
            <w:shd w:val="clear" w:color="auto" w:fill="auto"/>
          </w:tcPr>
          <w:p w:rsidR="001073DC" w:rsidRPr="00D1305C" w:rsidP="00BF1CCE">
            <w:pPr>
              <w:spacing w:after="0"/>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 xml:space="preserve">No </w:t>
            </w:r>
          </w:p>
          <w:p w:rsidR="001073DC" w:rsidRPr="00284E95" w:rsidP="00BF1CCE">
            <w:pPr>
              <w:spacing w:after="0"/>
              <w:rPr>
                <w:rFonts w:eastAsia="Times New Roman" w:cstheme="minorHAnsi"/>
                <w:bCs/>
                <w:iCs/>
                <w:color w:val="000000" w:themeColor="text1"/>
                <w:kern w:val="36"/>
                <w:lang w:eastAsia="en-GB"/>
              </w:rPr>
            </w:pPr>
          </w:p>
        </w:tc>
      </w:tr>
    </w:tbl>
    <w:tbl>
      <w:tblPr>
        <w:tblpPr w:leftFromText="181" w:rightFromText="181" w:vertAnchor="page" w:horzAnchor="margin" w:tblpXSpec="center" w:tblpY="2275"/>
        <w:tblOverlap w:val="neve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4678"/>
        <w:gridCol w:w="2551"/>
      </w:tblGrid>
      <w:tr w:rsidTr="00BF1CCE">
        <w:tblPrEx>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Pr>
        <w:tc>
          <w:tcPr>
            <w:tcW w:w="2835" w:type="dxa"/>
            <w:shd w:val="clear" w:color="auto" w:fill="BFBFBF"/>
            <w:vAlign w:val="center"/>
          </w:tcPr>
          <w:p w:rsidR="00284E95" w:rsidRPr="00D4431F" w:rsidP="00BF1CCE">
            <w:pPr>
              <w:spacing w:line="240" w:lineRule="auto"/>
              <w:jc w:val="center"/>
              <w:rPr>
                <w:rFonts w:cstheme="minorHAnsi"/>
                <w:b/>
                <w:bCs/>
              </w:rPr>
            </w:pPr>
            <w:r>
              <w:rPr>
                <w:rFonts w:cstheme="minorHAnsi"/>
                <w:b/>
                <w:bCs/>
              </w:rPr>
              <w:t>Report of</w:t>
            </w:r>
          </w:p>
        </w:tc>
        <w:tc>
          <w:tcPr>
            <w:tcW w:w="4678" w:type="dxa"/>
            <w:shd w:val="clear" w:color="auto" w:fill="BFBFBF"/>
          </w:tcPr>
          <w:p w:rsidR="00284E95" w:rsidP="00BF1CCE">
            <w:pPr>
              <w:spacing w:line="240" w:lineRule="auto"/>
              <w:jc w:val="center"/>
              <w:rPr>
                <w:rFonts w:cstheme="minorHAnsi"/>
                <w:b/>
                <w:bCs/>
              </w:rPr>
            </w:pPr>
            <w:r>
              <w:rPr>
                <w:rFonts w:cstheme="minorHAnsi"/>
                <w:b/>
                <w:bCs/>
              </w:rPr>
              <w:t>Meeting</w:t>
            </w:r>
          </w:p>
        </w:tc>
        <w:tc>
          <w:tcPr>
            <w:tcW w:w="2551" w:type="dxa"/>
            <w:shd w:val="clear" w:color="auto" w:fill="BFBFBF"/>
            <w:vAlign w:val="center"/>
          </w:tcPr>
          <w:p w:rsidR="00284E95" w:rsidRPr="00D4431F" w:rsidP="00BF1CCE">
            <w:pPr>
              <w:spacing w:line="240" w:lineRule="auto"/>
              <w:jc w:val="center"/>
              <w:rPr>
                <w:rFonts w:cstheme="minorHAnsi"/>
                <w:b/>
                <w:bCs/>
              </w:rPr>
            </w:pPr>
            <w:r>
              <w:rPr>
                <w:rFonts w:cstheme="minorHAnsi"/>
                <w:b/>
                <w:bCs/>
              </w:rPr>
              <w:t>Date</w:t>
            </w:r>
          </w:p>
        </w:tc>
      </w:tr>
      <w:tr w:rsidTr="00BF1CCE">
        <w:tblPrEx>
          <w:tblW w:w="10064" w:type="dxa"/>
          <w:tblLayout w:type="fixed"/>
          <w:tblLook w:val="0000"/>
        </w:tblPrEx>
        <w:trPr>
          <w:cantSplit/>
          <w:trHeight w:val="942"/>
        </w:trPr>
        <w:tc>
          <w:tcPr>
            <w:tcW w:w="2835" w:type="dxa"/>
            <w:vAlign w:val="center"/>
          </w:tcPr>
          <w:p w:rsidR="00284E95" w:rsidRPr="00ED4FF1" w:rsidP="00BF1CCE">
            <w:pPr>
              <w:spacing w:after="0"/>
              <w:jc w:val="center"/>
            </w:pPr>
            <w:r>
              <w:fldChar w:fldCharType="begin"/>
            </w:r>
            <w:r>
              <w:instrText xml:space="preserve"> DOCPROPERTY  LeadDirector  \* MERGEFORMAT </w:instrText>
            </w:r>
            <w:r>
              <w:fldChar w:fldCharType="separate"/>
            </w:r>
            <w:r w:rsidRPr="00ED4FF1">
              <w:t>Deputy Chief Executive</w:t>
            </w:r>
            <w:r>
              <w:fldChar w:fldCharType="end"/>
            </w:r>
          </w:p>
          <w:p w:rsidR="00284E95" w:rsidRPr="00ED4FF1" w:rsidP="00BF1CCE">
            <w:pPr>
              <w:jc w:val="center"/>
            </w:pPr>
            <w:r w:rsidRPr="00ED4FF1">
              <w:t xml:space="preserve">(Introduced by </w:t>
            </w:r>
            <w:r>
              <w:t>the Leader of the Council</w:t>
            </w:r>
            <w:r>
              <w:fldChar w:fldCharType="begin"/>
            </w:r>
            <w:r>
              <w:instrText xml:space="preserve"> DOCPROPERTY  LeadMember  \* MERGEFORMAT </w:instrText>
            </w:r>
            <w:r>
              <w:fldChar w:fldCharType="separate"/>
            </w:r>
            <w:r>
              <w:fldChar w:fldCharType="end"/>
            </w:r>
            <w:r w:rsidRPr="00ED4FF1">
              <w:t>)</w:t>
            </w:r>
          </w:p>
        </w:tc>
        <w:tc>
          <w:tcPr>
            <w:tcW w:w="4678" w:type="dxa"/>
            <w:vAlign w:val="center"/>
          </w:tcPr>
          <w:p w:rsidR="00284E95" w:rsidRPr="00ED4FF1" w:rsidP="00D953F0">
            <w:pPr>
              <w:spacing w:line="240" w:lineRule="auto"/>
              <w:jc w:val="center"/>
              <w:rPr>
                <w:rFonts w:cstheme="minorHAnsi"/>
              </w:rPr>
            </w:pPr>
            <w:r w:rsidRPr="00ED4FF1">
              <w:rPr>
                <w:rFonts w:cstheme="minorHAnsi"/>
              </w:rPr>
              <w:fldChar w:fldCharType="begin"/>
            </w:r>
            <w:r w:rsidRPr="00ED4FF1">
              <w:rPr>
                <w:rFonts w:cstheme="minorHAnsi"/>
              </w:rPr>
              <w:instrText xml:space="preserve"> DOCPROPERTY  CommitteeName  \* MERGEFORMAT </w:instrText>
            </w:r>
            <w:r w:rsidRPr="00ED4FF1">
              <w:rPr>
                <w:rFonts w:cstheme="minorHAnsi"/>
              </w:rPr>
              <w:fldChar w:fldCharType="separate"/>
            </w:r>
            <w:r w:rsidRPr="00ED4FF1">
              <w:rPr>
                <w:rFonts w:cstheme="minorHAnsi"/>
              </w:rPr>
              <w:t>Scrutiny Committee</w:t>
            </w:r>
            <w:r w:rsidRPr="00ED4FF1">
              <w:rPr>
                <w:rFonts w:cstheme="minorHAnsi"/>
              </w:rPr>
              <w:fldChar w:fldCharType="end"/>
            </w:r>
          </w:p>
        </w:tc>
        <w:tc>
          <w:tcPr>
            <w:tcW w:w="2551" w:type="dxa"/>
            <w:vAlign w:val="center"/>
          </w:tcPr>
          <w:p w:rsidR="00284E95" w:rsidRPr="00ED4FF1" w:rsidP="00BF1CCE">
            <w:pPr>
              <w:spacing w:line="240" w:lineRule="auto"/>
              <w:jc w:val="center"/>
              <w:rPr>
                <w:rFonts w:cstheme="minorHAnsi"/>
              </w:rPr>
            </w:pPr>
            <w:r>
              <w:rPr>
                <w:rFonts w:cstheme="minorHAnsi"/>
              </w:rPr>
              <w:fldChar w:fldCharType="begin"/>
            </w:r>
            <w:r>
              <w:rPr>
                <w:rFonts w:cstheme="minorHAnsi"/>
              </w:rPr>
              <w:instrText xml:space="preserve"> DOCPROPERTY  MeetingDate  \* MERGEFORMAT </w:instrText>
            </w:r>
            <w:r>
              <w:rPr>
                <w:rFonts w:cstheme="minorHAnsi"/>
              </w:rPr>
              <w:fldChar w:fldCharType="separate"/>
            </w:r>
            <w:r>
              <w:rPr>
                <w:rFonts w:cstheme="minorHAnsi"/>
              </w:rPr>
              <w:t>Tuesday, 11 January 2022</w:t>
            </w:r>
            <w:r>
              <w:rPr>
                <w:rFonts w:cstheme="minorHAnsi"/>
              </w:rPr>
              <w:fldChar w:fldCharType="end"/>
            </w:r>
          </w:p>
        </w:tc>
      </w:tr>
    </w:tbl>
    <w:p w:rsidR="00CF42B2" w:rsidP="002A4A7D">
      <w:pPr>
        <w:spacing w:after="0"/>
      </w:pPr>
      <w:r>
        <w:rPr>
          <w:rFonts w:cstheme="minorHAnsi"/>
          <w:b/>
          <w:bCs/>
          <w:noProof/>
        </w:rPr>
        <w:drawing>
          <wp:anchor distT="0" distB="0" distL="114300" distR="114300" simplePos="0" relativeHeight="251658240" behindDoc="0" locked="0" layoutInCell="1" allowOverlap="1">
            <wp:simplePos x="0" y="0"/>
            <wp:positionH relativeFrom="column">
              <wp:posOffset>-589280</wp:posOffset>
            </wp:positionH>
            <wp:positionV relativeFrom="page">
              <wp:posOffset>152400</wp:posOffset>
            </wp:positionV>
            <wp:extent cx="2296116" cy="1026160"/>
            <wp:effectExtent l="0" t="0" r="952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7940349" name="logo.png"/>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a:xfrm>
                      <a:off x="0" y="0"/>
                      <a:ext cx="2297189" cy="1026640"/>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1" w:rightFromText="181" w:vertAnchor="page" w:horzAnchor="margin" w:tblpXSpec="center" w:tblpY="6510"/>
        <w:tblOverlap w:val="neve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2"/>
        <w:gridCol w:w="4687"/>
      </w:tblGrid>
      <w:tr w:rsidTr="00BF1CCE">
        <w:tblPrEx>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5382" w:type="dxa"/>
            <w:shd w:val="clear" w:color="auto" w:fill="auto"/>
          </w:tcPr>
          <w:p w:rsidR="00284E95" w:rsidRPr="00D1305C" w:rsidP="00BF1CCE">
            <w:pPr>
              <w:rPr>
                <w:rFonts w:eastAsia="Times New Roman" w:cstheme="minorHAnsi"/>
                <w:bCs/>
                <w:color w:val="000000" w:themeColor="text1"/>
                <w:kern w:val="36"/>
                <w:lang w:eastAsia="en-GB"/>
              </w:rPr>
            </w:pPr>
            <w:r w:rsidRPr="00E22E70">
              <w:rPr>
                <w:rFonts w:eastAsia="Times New Roman" w:cstheme="minorHAnsi"/>
                <w:bCs/>
                <w:kern w:val="36"/>
                <w:lang w:eastAsia="en-GB"/>
              </w:rPr>
              <w:t>Is this decision key?</w:t>
            </w:r>
          </w:p>
        </w:tc>
        <w:tc>
          <w:tcPr>
            <w:tcW w:w="4687" w:type="dxa"/>
            <w:shd w:val="clear" w:color="auto" w:fill="auto"/>
          </w:tcPr>
          <w:p w:rsidR="00284E95" w:rsidP="00BF1CCE">
            <w:pPr>
              <w:spacing w:after="0"/>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Not applicable</w:t>
            </w:r>
          </w:p>
          <w:p w:rsidR="00284E95" w:rsidRPr="00284E95" w:rsidP="00BF1CCE">
            <w:pPr>
              <w:spacing w:after="0"/>
              <w:rPr>
                <w:rFonts w:eastAsia="Times New Roman" w:cstheme="minorHAnsi"/>
                <w:bCs/>
                <w:color w:val="000000" w:themeColor="text1"/>
                <w:kern w:val="36"/>
                <w:lang w:eastAsia="en-GB"/>
              </w:rPr>
            </w:pPr>
          </w:p>
        </w:tc>
      </w:tr>
    </w:tbl>
    <w:p w:rsidR="00284E95" w:rsidP="002A4A7D">
      <w:pPr>
        <w:pStyle w:val="Heading1"/>
        <w:spacing w:before="0" w:beforeAutospacing="0"/>
        <w:rPr>
          <w:rFonts w:asciiTheme="majorHAnsi" w:hAnsiTheme="majorHAnsi" w:cstheme="majorHAnsi"/>
          <w:sz w:val="28"/>
          <w:szCs w:val="28"/>
        </w:rPr>
      </w:pPr>
    </w:p>
    <w:tbl>
      <w:tblPr>
        <w:tblStyle w:val="TableGrid"/>
        <w:tblpPr w:leftFromText="181" w:rightFromText="181" w:vertAnchor="page" w:horzAnchor="margin" w:tblpXSpec="center" w:tblpY="7593"/>
        <w:tblOverlap w:val="never"/>
        <w:tblW w:w="10070" w:type="dxa"/>
        <w:tblLook w:val="04A0"/>
      </w:tblPr>
      <w:tblGrid>
        <w:gridCol w:w="5392"/>
        <w:gridCol w:w="4678"/>
      </w:tblGrid>
      <w:tr w:rsidTr="00BF1CCE">
        <w:tblPrEx>
          <w:tblW w:w="10070" w:type="dxa"/>
          <w:tblLook w:val="04A0"/>
        </w:tblPrEx>
        <w:tc>
          <w:tcPr>
            <w:tcW w:w="5392" w:type="dxa"/>
            <w:vAlign w:val="center"/>
          </w:tcPr>
          <w:p w:rsidR="00AD15F7" w:rsidP="00BF1CCE">
            <w:pPr>
              <w:spacing w:before="120" w:after="120"/>
            </w:pPr>
            <w:r>
              <w:rPr>
                <w:rFonts w:eastAsia="Times New Roman" w:cstheme="minorHAnsi"/>
                <w:bCs/>
                <w:color w:val="000000" w:themeColor="text1"/>
                <w:kern w:val="36"/>
                <w:lang w:eastAsia="en-GB"/>
              </w:rPr>
              <w:t>Savings or expenditure amounting to greater than £100,000</w:t>
            </w:r>
          </w:p>
        </w:tc>
        <w:tc>
          <w:tcPr>
            <w:tcW w:w="4678" w:type="dxa"/>
            <w:vAlign w:val="center"/>
          </w:tcPr>
          <w:p w:rsidR="00AD15F7" w:rsidP="00BF1CCE">
            <w:pPr>
              <w:spacing w:before="120" w:after="120"/>
            </w:pPr>
            <w:r>
              <w:rPr>
                <w:rFonts w:eastAsia="Times New Roman" w:cstheme="minorHAnsi"/>
                <w:bCs/>
                <w:color w:val="000000" w:themeColor="text1"/>
                <w:kern w:val="36"/>
                <w:lang w:eastAsia="en-GB"/>
              </w:rPr>
              <w:t>Significant impact on 2 or more council wards</w:t>
            </w:r>
          </w:p>
        </w:tc>
      </w:tr>
    </w:tbl>
    <w:p w:rsidR="00BF1CCE" w:rsidP="002A4A7D">
      <w:pPr>
        <w:pStyle w:val="Heading1"/>
        <w:spacing w:before="0" w:beforeAutospacing="0"/>
        <w:rPr>
          <w:rFonts w:asciiTheme="majorHAnsi" w:hAnsiTheme="majorHAnsi" w:cstheme="majorHAnsi"/>
          <w:sz w:val="28"/>
          <w:szCs w:val="28"/>
        </w:rPr>
      </w:pPr>
    </w:p>
    <w:p w:rsidR="00AD15F7" w:rsidRPr="00BF1CCE" w:rsidP="002A4A7D">
      <w:pPr>
        <w:pStyle w:val="Heading1"/>
        <w:spacing w:before="0" w:beforeAutospacing="0"/>
        <w:rPr>
          <w:rFonts w:asciiTheme="majorHAnsi" w:hAnsiTheme="majorHAnsi" w:cstheme="majorHAnsi"/>
          <w:sz w:val="24"/>
          <w:szCs w:val="24"/>
        </w:rPr>
      </w:pPr>
      <w:r w:rsidRPr="00883AC9">
        <w:rPr>
          <w:rFonts w:asciiTheme="majorHAnsi" w:hAnsiTheme="majorHAnsi" w:cstheme="majorHAnsi"/>
          <w:sz w:val="28"/>
          <w:szCs w:val="28"/>
        </w:rPr>
        <w:fldChar w:fldCharType="begin"/>
      </w:r>
      <w:r w:rsidRPr="00883AC9">
        <w:rPr>
          <w:rFonts w:asciiTheme="majorHAnsi" w:hAnsiTheme="majorHAnsi" w:cstheme="majorHAnsi"/>
          <w:sz w:val="28"/>
          <w:szCs w:val="28"/>
        </w:rPr>
        <w:instrText xml:space="preserve"> DOCPROPERTY  IssueTitle  \* MERGEFORMAT </w:instrText>
      </w:r>
      <w:r w:rsidRPr="00883AC9">
        <w:rPr>
          <w:rFonts w:asciiTheme="majorHAnsi" w:hAnsiTheme="majorHAnsi" w:cstheme="majorHAnsi"/>
          <w:sz w:val="28"/>
          <w:szCs w:val="28"/>
        </w:rPr>
        <w:fldChar w:fldCharType="separate"/>
      </w:r>
      <w:r w:rsidRPr="00883AC9">
        <w:rPr>
          <w:rFonts w:asciiTheme="majorHAnsi" w:hAnsiTheme="majorHAnsi" w:cstheme="majorHAnsi"/>
          <w:sz w:val="28"/>
          <w:szCs w:val="28"/>
        </w:rPr>
        <w:t>Scrutiny Portfolio Update: Strategy and Reform</w:t>
      </w:r>
      <w:r w:rsidRPr="00883AC9">
        <w:rPr>
          <w:rFonts w:asciiTheme="majorHAnsi" w:hAnsiTheme="majorHAnsi" w:cstheme="majorHAnsi"/>
          <w:sz w:val="28"/>
          <w:szCs w:val="28"/>
        </w:rPr>
        <w:fldChar w:fldCharType="end"/>
      </w:r>
    </w:p>
    <w:p w:rsidR="00BF1CCE" w:rsidP="000179AF">
      <w:pPr>
        <w:rPr>
          <w:rFonts w:eastAsia="Times New Roman" w:cstheme="minorHAnsi"/>
          <w:bCs/>
          <w:color w:val="000000" w:themeColor="text1"/>
          <w:kern w:val="36"/>
          <w:lang w:eastAsia="en-GB"/>
        </w:rPr>
      </w:pPr>
    </w:p>
    <w:p w:rsidR="000179AF" w:rsidP="000179AF">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 xml:space="preserve"> </w:t>
      </w:r>
    </w:p>
    <w:p w:rsidR="00D953F0" w:rsidP="000179AF">
      <w:pPr>
        <w:pStyle w:val="Heading1"/>
        <w:rPr>
          <w:rFonts w:asciiTheme="majorHAnsi" w:hAnsiTheme="majorHAnsi" w:cstheme="majorHAnsi"/>
          <w:sz w:val="22"/>
        </w:rPr>
      </w:pPr>
    </w:p>
    <w:p w:rsidR="00D953F0" w:rsidP="000179AF">
      <w:pPr>
        <w:pStyle w:val="Heading1"/>
        <w:rPr>
          <w:rFonts w:asciiTheme="majorHAnsi" w:hAnsiTheme="majorHAnsi" w:cstheme="majorHAnsi"/>
          <w:sz w:val="22"/>
        </w:rPr>
      </w:pPr>
    </w:p>
    <w:p w:rsidR="00F52A8B" w:rsidRPr="00ED4FF1" w:rsidP="00F52A8B">
      <w:pPr>
        <w:pStyle w:val="Heading1"/>
        <w:rPr>
          <w:rFonts w:asciiTheme="majorHAnsi" w:hAnsiTheme="majorHAnsi" w:cstheme="majorHAnsi"/>
          <w:sz w:val="8"/>
          <w:szCs w:val="22"/>
        </w:rPr>
      </w:pPr>
      <w:r w:rsidRPr="00ED4FF1">
        <w:rPr>
          <w:rFonts w:asciiTheme="majorHAnsi" w:hAnsiTheme="majorHAnsi" w:cstheme="majorHAnsi"/>
          <w:sz w:val="22"/>
        </w:rPr>
        <w:t>Purpose of the Report</w:t>
      </w:r>
    </w:p>
    <w:p w:rsidR="00F52A8B" w:rsidRPr="003E3722" w:rsidP="00F52A8B">
      <w:pPr>
        <w:numPr>
          <w:ilvl w:val="0"/>
          <w:numId w:val="8"/>
        </w:numPr>
        <w:spacing w:after="0" w:line="240" w:lineRule="auto"/>
        <w:jc w:val="both"/>
      </w:pPr>
      <w:r w:rsidRPr="698CBF94">
        <w:t xml:space="preserve">To provide an update to the Scrutiny Committee on the work and performance of the </w:t>
      </w:r>
      <w:r w:rsidRPr="698CBF94">
        <w:t>Strategy and Reform portfolio.</w:t>
      </w:r>
    </w:p>
    <w:p w:rsidR="00F52A8B" w:rsidP="00F52A8B">
      <w:pPr>
        <w:spacing w:after="0" w:line="240" w:lineRule="auto"/>
        <w:jc w:val="both"/>
        <w:rPr>
          <w:rFonts w:cstheme="minorHAnsi"/>
          <w:bCs/>
        </w:rPr>
      </w:pPr>
    </w:p>
    <w:p w:rsidR="00F52A8B" w:rsidRPr="002A4A7D" w:rsidP="00F52A8B">
      <w:pPr>
        <w:pStyle w:val="Heading2"/>
        <w:spacing w:before="0" w:beforeAutospacing="0"/>
        <w:rPr>
          <w:rFonts w:asciiTheme="majorHAnsi" w:hAnsiTheme="majorHAnsi" w:cstheme="majorHAnsi"/>
          <w:b w:val="0"/>
          <w:bCs w:val="0"/>
          <w:sz w:val="22"/>
        </w:rPr>
      </w:pPr>
      <w:r w:rsidRPr="00ED4FF1">
        <w:rPr>
          <w:rFonts w:asciiTheme="majorHAnsi" w:hAnsiTheme="majorHAnsi" w:cstheme="majorHAnsi"/>
          <w:sz w:val="22"/>
        </w:rPr>
        <w:t>Recommendations</w:t>
      </w:r>
      <w:r>
        <w:rPr>
          <w:rFonts w:asciiTheme="majorHAnsi" w:hAnsiTheme="majorHAnsi" w:cstheme="majorHAnsi"/>
          <w:sz w:val="22"/>
        </w:rPr>
        <w:t xml:space="preserve"> to Scrutiny Committee</w:t>
      </w:r>
    </w:p>
    <w:p w:rsidR="00F52A8B" w:rsidRPr="00D953F0" w:rsidP="00F52A8B">
      <w:pPr>
        <w:numPr>
          <w:ilvl w:val="0"/>
          <w:numId w:val="8"/>
        </w:numPr>
        <w:spacing w:after="0" w:line="240" w:lineRule="auto"/>
        <w:jc w:val="both"/>
      </w:pPr>
      <w:r w:rsidRPr="698CBF94">
        <w:t>That the report be noted.</w:t>
      </w:r>
    </w:p>
    <w:p w:rsidR="00F52A8B" w:rsidRPr="00D4431F" w:rsidP="00F52A8B">
      <w:pPr>
        <w:spacing w:after="0" w:line="240" w:lineRule="auto"/>
        <w:jc w:val="both"/>
        <w:rPr>
          <w:rFonts w:cstheme="minorHAnsi"/>
          <w:bCs/>
        </w:rPr>
      </w:pPr>
    </w:p>
    <w:p w:rsidR="00F52A8B" w:rsidRPr="00ED4FF1" w:rsidP="00F52A8B">
      <w:pPr>
        <w:pStyle w:val="Heading2"/>
        <w:spacing w:before="0" w:beforeAutospacing="0" w:after="240" w:afterAutospacing="0"/>
        <w:rPr>
          <w:rFonts w:asciiTheme="majorHAnsi" w:hAnsiTheme="majorHAnsi" w:cstheme="majorHAnsi"/>
          <w:sz w:val="12"/>
          <w:szCs w:val="14"/>
        </w:rPr>
      </w:pPr>
      <w:r w:rsidRPr="00ED4FF1">
        <w:rPr>
          <w:rFonts w:asciiTheme="majorHAnsi" w:hAnsiTheme="majorHAnsi" w:cstheme="majorHAnsi"/>
          <w:sz w:val="22"/>
          <w:szCs w:val="22"/>
        </w:rPr>
        <w:t>Reasons for recommendations</w:t>
      </w:r>
    </w:p>
    <w:p w:rsidR="00F52A8B" w:rsidRPr="003E3722" w:rsidP="00F52A8B">
      <w:pPr>
        <w:numPr>
          <w:ilvl w:val="0"/>
          <w:numId w:val="8"/>
        </w:numPr>
        <w:spacing w:after="0" w:line="240" w:lineRule="auto"/>
        <w:jc w:val="both"/>
      </w:pPr>
      <w:r w:rsidRPr="698CBF94">
        <w:t>The report provides an opportunity for the committee to scrutinise the performance of the portfolio.</w:t>
      </w:r>
    </w:p>
    <w:p w:rsidR="00F52A8B" w:rsidRPr="00D4431F" w:rsidP="00F52A8B">
      <w:pPr>
        <w:spacing w:after="0" w:line="240" w:lineRule="auto"/>
        <w:ind w:left="720"/>
        <w:jc w:val="both"/>
        <w:rPr>
          <w:rFonts w:cstheme="minorHAnsi"/>
          <w:bCs/>
        </w:rPr>
      </w:pPr>
    </w:p>
    <w:p w:rsidR="00F52A8B" w:rsidRPr="00ED4FF1" w:rsidP="00F52A8B">
      <w:pPr>
        <w:pStyle w:val="Heading2"/>
        <w:spacing w:before="0" w:beforeAutospacing="0"/>
        <w:rPr>
          <w:rFonts w:asciiTheme="majorHAnsi" w:hAnsiTheme="majorHAnsi" w:cstheme="majorHAnsi"/>
          <w:i/>
          <w:sz w:val="22"/>
          <w:szCs w:val="22"/>
        </w:rPr>
      </w:pPr>
      <w:r w:rsidRPr="00ED4FF1">
        <w:rPr>
          <w:rFonts w:asciiTheme="majorHAnsi" w:hAnsiTheme="majorHAnsi" w:cstheme="majorHAnsi"/>
          <w:sz w:val="22"/>
          <w:szCs w:val="22"/>
        </w:rPr>
        <w:t xml:space="preserve">Other options considered and </w:t>
      </w:r>
      <w:r w:rsidRPr="00ED4FF1">
        <w:rPr>
          <w:rFonts w:asciiTheme="majorHAnsi" w:hAnsiTheme="majorHAnsi" w:cstheme="majorHAnsi"/>
          <w:sz w:val="22"/>
          <w:szCs w:val="22"/>
        </w:rPr>
        <w:t>rejected</w:t>
      </w:r>
    </w:p>
    <w:p w:rsidR="00F52A8B" w:rsidRPr="003E3722" w:rsidP="00F52A8B">
      <w:pPr>
        <w:numPr>
          <w:ilvl w:val="0"/>
          <w:numId w:val="8"/>
        </w:numPr>
        <w:spacing w:after="0" w:line="240" w:lineRule="auto"/>
        <w:jc w:val="both"/>
      </w:pPr>
      <w:r w:rsidRPr="698CBF94">
        <w:t xml:space="preserve">To not present the report, which would not support robust scrutiny. </w:t>
      </w:r>
    </w:p>
    <w:p w:rsidR="00F52A8B" w:rsidRPr="00D4431F" w:rsidP="00F52A8B">
      <w:pPr>
        <w:spacing w:after="0" w:line="240" w:lineRule="auto"/>
        <w:ind w:left="720"/>
        <w:jc w:val="both"/>
        <w:rPr>
          <w:rFonts w:cstheme="minorHAnsi"/>
          <w:bCs/>
          <w:i/>
        </w:rPr>
      </w:pPr>
    </w:p>
    <w:p w:rsidR="00F52A8B" w:rsidP="00F52A8B">
      <w:pPr>
        <w:spacing w:after="0" w:line="240" w:lineRule="auto"/>
        <w:jc w:val="both"/>
        <w:rPr>
          <w:rFonts w:cstheme="minorHAnsi"/>
          <w:bCs/>
        </w:rPr>
      </w:pPr>
    </w:p>
    <w:p w:rsidR="00F52A8B" w:rsidRPr="00ED4FF1" w:rsidP="00F52A8B">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Corporate priorities</w:t>
      </w:r>
    </w:p>
    <w:p w:rsidR="00F52A8B" w:rsidP="00F52A8B">
      <w:pPr>
        <w:numPr>
          <w:ilvl w:val="0"/>
          <w:numId w:val="8"/>
        </w:numPr>
        <w:spacing w:after="0" w:line="240" w:lineRule="auto"/>
        <w:jc w:val="both"/>
        <w:rPr>
          <w:i/>
        </w:rPr>
      </w:pPr>
      <w:r w:rsidRPr="698CBF94">
        <w:t xml:space="preserve"> The report relates to the following corporate priorities:</w:t>
      </w:r>
    </w:p>
    <w:p w:rsidR="00F52A8B" w:rsidRPr="006149F1" w:rsidP="00F52A8B">
      <w:pPr>
        <w:spacing w:after="0" w:line="240" w:lineRule="auto"/>
        <w:ind w:left="360"/>
        <w:jc w:val="both"/>
        <w:rPr>
          <w:rFonts w:cstheme="minorHAnsi"/>
          <w:bCs/>
          <w:i/>
        </w:rPr>
      </w:pPr>
    </w:p>
    <w:tbl>
      <w:tblPr>
        <w:tblpPr w:leftFromText="181" w:rightFromText="181" w:vertAnchor="text" w:tblpY="1"/>
        <w:tblOverlap w:val="neve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8"/>
        <w:gridCol w:w="4678"/>
      </w:tblGrid>
      <w:tr w:rsidTr="00F12729">
        <w:tblPrEx>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848" w:type="dxa"/>
            <w:shd w:val="clear" w:color="auto" w:fill="auto"/>
            <w:vAlign w:val="center"/>
          </w:tcPr>
          <w:p w:rsidR="00F52A8B" w:rsidRPr="00D953F0" w:rsidP="00F12729">
            <w:pPr>
              <w:spacing w:line="240" w:lineRule="auto"/>
              <w:jc w:val="center"/>
              <w:rPr>
                <w:rFonts w:cstheme="minorHAnsi"/>
                <w:b/>
              </w:rPr>
            </w:pPr>
            <w:r w:rsidRPr="00D953F0">
              <w:rPr>
                <w:rFonts w:cstheme="minorHAnsi"/>
                <w:b/>
              </w:rPr>
              <w:t>An exemplary council</w:t>
            </w:r>
          </w:p>
        </w:tc>
        <w:tc>
          <w:tcPr>
            <w:tcW w:w="4678" w:type="dxa"/>
            <w:vAlign w:val="center"/>
          </w:tcPr>
          <w:p w:rsidR="00F52A8B" w:rsidRPr="00D4431F" w:rsidP="00F12729">
            <w:pPr>
              <w:spacing w:line="240" w:lineRule="auto"/>
              <w:jc w:val="center"/>
              <w:rPr>
                <w:rFonts w:cstheme="minorHAnsi"/>
                <w:bCs/>
              </w:rPr>
            </w:pPr>
            <w:r w:rsidRPr="00D4431F">
              <w:rPr>
                <w:rFonts w:cstheme="minorHAnsi"/>
                <w:bCs/>
              </w:rPr>
              <w:t>Thriving communities</w:t>
            </w:r>
          </w:p>
        </w:tc>
      </w:tr>
      <w:tr w:rsidTr="00F12729">
        <w:tblPrEx>
          <w:tblW w:w="9526" w:type="dxa"/>
          <w:tblLook w:val="04A0"/>
        </w:tblPrEx>
        <w:tc>
          <w:tcPr>
            <w:tcW w:w="4848" w:type="dxa"/>
            <w:shd w:val="clear" w:color="auto" w:fill="auto"/>
            <w:vAlign w:val="center"/>
          </w:tcPr>
          <w:p w:rsidR="00F52A8B" w:rsidRPr="00D4431F" w:rsidP="00F12729">
            <w:pPr>
              <w:spacing w:line="240" w:lineRule="auto"/>
              <w:jc w:val="center"/>
              <w:rPr>
                <w:rFonts w:cstheme="minorHAnsi"/>
                <w:bCs/>
              </w:rPr>
            </w:pPr>
            <w:r w:rsidRPr="00D4431F">
              <w:rPr>
                <w:rFonts w:cstheme="minorHAnsi"/>
                <w:bCs/>
              </w:rPr>
              <w:t>A fair local economy that works for everyone</w:t>
            </w:r>
          </w:p>
        </w:tc>
        <w:tc>
          <w:tcPr>
            <w:tcW w:w="4678" w:type="dxa"/>
            <w:vAlign w:val="center"/>
          </w:tcPr>
          <w:p w:rsidR="00F52A8B" w:rsidRPr="00D4431F" w:rsidP="00F12729">
            <w:pPr>
              <w:spacing w:line="240" w:lineRule="auto"/>
              <w:jc w:val="center"/>
              <w:rPr>
                <w:rFonts w:cstheme="minorHAnsi"/>
                <w:bCs/>
              </w:rPr>
            </w:pPr>
            <w:r w:rsidRPr="00D4431F">
              <w:rPr>
                <w:rFonts w:cstheme="minorHAnsi"/>
                <w:bCs/>
              </w:rPr>
              <w:t>Good homes, green spaces, healthy places</w:t>
            </w:r>
          </w:p>
        </w:tc>
      </w:tr>
    </w:tbl>
    <w:p w:rsidR="00F52A8B" w:rsidRPr="00D4431F" w:rsidP="00F52A8B">
      <w:pPr>
        <w:spacing w:line="240" w:lineRule="auto"/>
        <w:jc w:val="both"/>
        <w:rPr>
          <w:rFonts w:cstheme="minorHAnsi"/>
          <w:bCs/>
        </w:rPr>
      </w:pPr>
    </w:p>
    <w:p w:rsidR="00F52A8B" w:rsidRPr="00ED4FF1" w:rsidP="00F52A8B">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Background to the report</w:t>
      </w:r>
    </w:p>
    <w:p w:rsidR="00F52A8B" w:rsidP="00F52A8B">
      <w:pPr>
        <w:numPr>
          <w:ilvl w:val="0"/>
          <w:numId w:val="8"/>
        </w:numPr>
        <w:spacing w:after="0" w:line="240" w:lineRule="auto"/>
        <w:jc w:val="both"/>
      </w:pPr>
      <w:r w:rsidRPr="698CBF94">
        <w:t xml:space="preserve">The Strategy and Reform portfolio relates to the following council services: </w:t>
      </w:r>
    </w:p>
    <w:p w:rsidR="00F52A8B" w:rsidP="00F52A8B">
      <w:pPr>
        <w:numPr>
          <w:ilvl w:val="1"/>
          <w:numId w:val="8"/>
        </w:numPr>
        <w:spacing w:after="0" w:line="240" w:lineRule="auto"/>
        <w:jc w:val="both"/>
      </w:pPr>
      <w:r w:rsidRPr="698CBF94">
        <w:t>Communications and Visitor Economy</w:t>
      </w:r>
    </w:p>
    <w:p w:rsidR="00F52A8B" w:rsidP="00F52A8B">
      <w:pPr>
        <w:numPr>
          <w:ilvl w:val="1"/>
          <w:numId w:val="8"/>
        </w:numPr>
        <w:spacing w:after="0" w:line="240" w:lineRule="auto"/>
        <w:jc w:val="both"/>
      </w:pPr>
      <w:r w:rsidRPr="698CBF94">
        <w:t>Governance (including Democratic Services, Legal and Audit and Risk)</w:t>
      </w:r>
    </w:p>
    <w:p w:rsidR="00F52A8B" w:rsidP="00F52A8B">
      <w:pPr>
        <w:numPr>
          <w:ilvl w:val="1"/>
          <w:numId w:val="8"/>
        </w:numPr>
        <w:spacing w:after="0" w:line="240" w:lineRule="auto"/>
        <w:jc w:val="both"/>
      </w:pPr>
      <w:r w:rsidRPr="698CBF94">
        <w:t>Transformation and Partnerships</w:t>
      </w:r>
    </w:p>
    <w:p w:rsidR="00F52A8B" w:rsidP="00F52A8B">
      <w:pPr>
        <w:spacing w:after="0" w:line="240" w:lineRule="auto"/>
        <w:ind w:left="360"/>
        <w:jc w:val="both"/>
        <w:rPr>
          <w:rFonts w:cstheme="minorHAnsi"/>
          <w:bCs/>
          <w:iCs/>
        </w:rPr>
      </w:pPr>
    </w:p>
    <w:p w:rsidR="00F52A8B" w:rsidRPr="003E3722" w:rsidP="00F52A8B">
      <w:pPr>
        <w:numPr>
          <w:ilvl w:val="0"/>
          <w:numId w:val="8"/>
        </w:numPr>
        <w:spacing w:after="0" w:line="240" w:lineRule="auto"/>
        <w:jc w:val="both"/>
      </w:pPr>
      <w:r w:rsidRPr="698CBF94">
        <w:t>This report sets out an update on the corporate strategy key projects, business plan actions and key performance indicators for the portfolio. It also provides an update about the shared services relationship with Chorley C</w:t>
      </w:r>
      <w:r w:rsidRPr="698CBF94">
        <w:t>ouncil.</w:t>
      </w:r>
    </w:p>
    <w:p w:rsidR="00F52A8B" w:rsidRPr="00D4431F" w:rsidP="00F52A8B">
      <w:pPr>
        <w:spacing w:after="0" w:line="240" w:lineRule="auto"/>
        <w:ind w:left="720"/>
        <w:jc w:val="both"/>
        <w:rPr>
          <w:rFonts w:cstheme="minorHAnsi"/>
          <w:bCs/>
          <w:i/>
        </w:rPr>
      </w:pPr>
    </w:p>
    <w:p w:rsidR="00F52A8B" w:rsidRPr="00ED4FF1" w:rsidP="00F52A8B">
      <w:pPr>
        <w:pStyle w:val="Heading2"/>
        <w:spacing w:before="0" w:beforeAutospacing="0"/>
        <w:rPr>
          <w:rFonts w:asciiTheme="majorHAnsi" w:hAnsiTheme="majorHAnsi" w:cstheme="majorHAnsi"/>
          <w:sz w:val="22"/>
          <w:szCs w:val="22"/>
        </w:rPr>
      </w:pPr>
      <w:r>
        <w:rPr>
          <w:rFonts w:asciiTheme="majorHAnsi" w:hAnsiTheme="majorHAnsi" w:cstheme="majorHAnsi"/>
          <w:sz w:val="22"/>
          <w:szCs w:val="22"/>
        </w:rPr>
        <w:t>Corporate Strategy projects</w:t>
      </w:r>
    </w:p>
    <w:p w:rsidR="00F52A8B" w:rsidRPr="004A7EC1" w:rsidP="00F52A8B">
      <w:pPr>
        <w:pStyle w:val="ListParagraph"/>
        <w:numPr>
          <w:ilvl w:val="0"/>
          <w:numId w:val="8"/>
        </w:numPr>
        <w:spacing w:line="240" w:lineRule="auto"/>
        <w:rPr>
          <w:rFonts w:ascii="Segoe UI" w:eastAsia="Times New Roman" w:hAnsi="Segoe UI" w:cs="Segoe UI"/>
          <w:sz w:val="21"/>
          <w:szCs w:val="21"/>
          <w:lang w:eastAsia="en-GB"/>
        </w:rPr>
      </w:pPr>
      <w:r w:rsidRPr="698CBF94">
        <w:t>The table below includes an update of the relevant key projects that from the Corporate Strategy approved in September 2020.</w:t>
      </w:r>
    </w:p>
    <w:p w:rsidR="00F52A8B" w:rsidP="00F52A8B">
      <w:pPr>
        <w:pStyle w:val="ListParagraph"/>
        <w:spacing w:line="240" w:lineRule="auto"/>
        <w:ind w:left="360"/>
        <w:rPr>
          <w:rFonts w:ascii="Segoe UI" w:eastAsia="Times New Roman" w:hAnsi="Segoe UI" w:cs="Segoe UI"/>
          <w:sz w:val="21"/>
          <w:szCs w:val="21"/>
          <w:lang w:eastAsia="en-GB"/>
        </w:rPr>
      </w:pPr>
    </w:p>
    <w:tbl>
      <w:tblPr>
        <w:tblStyle w:val="TableGrid"/>
        <w:tblW w:w="9356" w:type="dxa"/>
        <w:tblInd w:w="-5" w:type="dxa"/>
        <w:tblLook w:val="04A0"/>
      </w:tblPr>
      <w:tblGrid>
        <w:gridCol w:w="2977"/>
        <w:gridCol w:w="1843"/>
        <w:gridCol w:w="4536"/>
      </w:tblGrid>
      <w:tr w:rsidTr="00F12729">
        <w:tblPrEx>
          <w:tblW w:w="9356" w:type="dxa"/>
          <w:tblInd w:w="-5" w:type="dxa"/>
          <w:tblLook w:val="04A0"/>
        </w:tblPrEx>
        <w:tc>
          <w:tcPr>
            <w:tcW w:w="2977" w:type="dxa"/>
          </w:tcPr>
          <w:p w:rsidR="00F52A8B" w:rsidRPr="004A7EC1" w:rsidP="00F12729">
            <w:pPr>
              <w:pStyle w:val="ListParagraph"/>
              <w:spacing w:after="0" w:line="240" w:lineRule="auto"/>
              <w:ind w:left="0"/>
              <w:rPr>
                <w:rFonts w:eastAsia="Times New Roman" w:asciiTheme="majorHAnsi" w:hAnsiTheme="majorHAnsi" w:cstheme="majorHAnsi"/>
                <w:b/>
                <w:bCs/>
                <w:lang w:eastAsia="en-GB"/>
              </w:rPr>
            </w:pPr>
            <w:r w:rsidRPr="004A7EC1">
              <w:rPr>
                <w:rFonts w:eastAsia="Times New Roman" w:asciiTheme="majorHAnsi" w:hAnsiTheme="majorHAnsi" w:cstheme="majorHAnsi"/>
                <w:b/>
                <w:bCs/>
                <w:lang w:eastAsia="en-GB"/>
              </w:rPr>
              <w:t xml:space="preserve">Key project </w:t>
            </w:r>
          </w:p>
        </w:tc>
        <w:tc>
          <w:tcPr>
            <w:tcW w:w="1843" w:type="dxa"/>
          </w:tcPr>
          <w:p w:rsidR="00F52A8B" w:rsidRPr="004A7EC1" w:rsidP="00F12729">
            <w:pPr>
              <w:pStyle w:val="ListParagraph"/>
              <w:spacing w:after="0" w:line="240" w:lineRule="auto"/>
              <w:ind w:left="0"/>
              <w:rPr>
                <w:rFonts w:eastAsia="Times New Roman" w:asciiTheme="majorHAnsi" w:hAnsiTheme="majorHAnsi" w:cstheme="majorHAnsi"/>
                <w:b/>
                <w:bCs/>
                <w:lang w:eastAsia="en-GB"/>
              </w:rPr>
            </w:pPr>
            <w:r w:rsidRPr="004A7EC1">
              <w:rPr>
                <w:rFonts w:eastAsia="Times New Roman" w:asciiTheme="majorHAnsi" w:hAnsiTheme="majorHAnsi" w:cstheme="majorHAnsi"/>
                <w:b/>
                <w:bCs/>
                <w:lang w:eastAsia="en-GB"/>
              </w:rPr>
              <w:t>Status December 2021</w:t>
            </w:r>
          </w:p>
        </w:tc>
        <w:tc>
          <w:tcPr>
            <w:tcW w:w="4536" w:type="dxa"/>
          </w:tcPr>
          <w:p w:rsidR="00F52A8B" w:rsidRPr="004A7EC1" w:rsidP="00F12729">
            <w:pPr>
              <w:pStyle w:val="ListParagraph"/>
              <w:spacing w:after="0" w:line="240" w:lineRule="auto"/>
              <w:ind w:left="0"/>
              <w:rPr>
                <w:rFonts w:eastAsia="Times New Roman" w:asciiTheme="majorHAnsi" w:hAnsiTheme="majorHAnsi" w:cstheme="majorHAnsi"/>
                <w:b/>
                <w:bCs/>
                <w:lang w:eastAsia="en-GB"/>
              </w:rPr>
            </w:pPr>
            <w:r w:rsidRPr="004A7EC1">
              <w:rPr>
                <w:rFonts w:eastAsia="Times New Roman" w:asciiTheme="majorHAnsi" w:hAnsiTheme="majorHAnsi" w:cstheme="majorHAnsi"/>
                <w:b/>
                <w:bCs/>
                <w:lang w:eastAsia="en-GB"/>
              </w:rPr>
              <w:t xml:space="preserve">Commentary </w:t>
            </w:r>
          </w:p>
        </w:tc>
      </w:tr>
      <w:tr w:rsidTr="00F12729">
        <w:tblPrEx>
          <w:tblW w:w="9356" w:type="dxa"/>
          <w:tblInd w:w="-5" w:type="dxa"/>
          <w:tblLook w:val="04A0"/>
        </w:tblPrEx>
        <w:tc>
          <w:tcPr>
            <w:tcW w:w="2977" w:type="dxa"/>
            <w:vAlign w:val="center"/>
          </w:tcPr>
          <w:p w:rsidR="00F52A8B" w:rsidRPr="004A7EC1" w:rsidP="00F12729">
            <w:pPr>
              <w:pStyle w:val="ListParagraph"/>
              <w:spacing w:after="0" w:line="240" w:lineRule="auto"/>
              <w:ind w:left="0"/>
              <w:rPr>
                <w:rFonts w:eastAsia="Times New Roman" w:asciiTheme="majorHAnsi" w:hAnsiTheme="majorHAnsi" w:cstheme="majorHAnsi"/>
                <w:lang w:eastAsia="en-GB"/>
              </w:rPr>
            </w:pPr>
            <w:r w:rsidRPr="00345832">
              <w:rPr>
                <w:rFonts w:eastAsia="Times New Roman" w:asciiTheme="majorHAnsi" w:hAnsiTheme="majorHAnsi" w:cstheme="majorHAnsi"/>
                <w:lang w:eastAsia="en-GB"/>
              </w:rPr>
              <w:t xml:space="preserve">Deliver the Annual Governance </w:t>
            </w:r>
            <w:r w:rsidRPr="00345832">
              <w:rPr>
                <w:rFonts w:eastAsia="Times New Roman" w:asciiTheme="majorHAnsi" w:hAnsiTheme="majorHAnsi" w:cstheme="majorHAnsi"/>
                <w:lang w:eastAsia="en-GB"/>
              </w:rPr>
              <w:t>Statement Action Plan</w:t>
            </w:r>
          </w:p>
        </w:tc>
        <w:tc>
          <w:tcPr>
            <w:tcW w:w="1843" w:type="dxa"/>
            <w:vAlign w:val="center"/>
          </w:tcPr>
          <w:p w:rsidR="00F52A8B" w:rsidRPr="004A7EC1" w:rsidP="00F12729">
            <w:pPr>
              <w:pStyle w:val="ListParagraph"/>
              <w:spacing w:after="0" w:line="240" w:lineRule="auto"/>
              <w:ind w:left="0"/>
              <w:rPr>
                <w:rFonts w:eastAsia="Times New Roman" w:asciiTheme="majorHAnsi" w:hAnsiTheme="majorHAnsi" w:cstheme="majorHAnsi"/>
                <w:lang w:eastAsia="en-GB"/>
              </w:rPr>
            </w:pPr>
            <w:r>
              <w:rPr>
                <w:rFonts w:eastAsia="Times New Roman" w:asciiTheme="majorHAnsi" w:hAnsiTheme="majorHAnsi" w:cstheme="majorHAnsi"/>
                <w:lang w:eastAsia="en-GB"/>
              </w:rPr>
              <w:t>Complete</w:t>
            </w:r>
          </w:p>
        </w:tc>
        <w:tc>
          <w:tcPr>
            <w:tcW w:w="4536" w:type="dxa"/>
          </w:tcPr>
          <w:p w:rsidR="00F52A8B" w:rsidRPr="004A7EC1" w:rsidP="00F12729">
            <w:pPr>
              <w:pStyle w:val="ListParagraph"/>
              <w:spacing w:after="0" w:line="240" w:lineRule="auto"/>
              <w:ind w:left="0"/>
              <w:rPr>
                <w:rFonts w:eastAsia="Times New Roman" w:asciiTheme="majorHAnsi" w:hAnsiTheme="majorHAnsi" w:cstheme="majorHAnsi"/>
                <w:lang w:eastAsia="en-GB"/>
              </w:rPr>
            </w:pPr>
            <w:r>
              <w:rPr>
                <w:rFonts w:eastAsia="Times New Roman" w:asciiTheme="majorHAnsi" w:hAnsiTheme="majorHAnsi" w:cstheme="majorHAnsi"/>
                <w:lang w:eastAsia="en-GB"/>
              </w:rPr>
              <w:t>The Annual Governance Statement action plan was successfully completed, with all the actions successfully completed. This was an important element in providing assurance to residents, partners and the external auditors that t</w:t>
            </w:r>
            <w:r>
              <w:rPr>
                <w:rFonts w:eastAsia="Times New Roman" w:asciiTheme="majorHAnsi" w:hAnsiTheme="majorHAnsi" w:cstheme="majorHAnsi"/>
                <w:lang w:eastAsia="en-GB"/>
              </w:rPr>
              <w:t>he council has established effective internal controls and an effective governance framework.</w:t>
            </w:r>
          </w:p>
        </w:tc>
      </w:tr>
      <w:tr w:rsidTr="00F12729">
        <w:tblPrEx>
          <w:tblW w:w="9356" w:type="dxa"/>
          <w:tblInd w:w="-5" w:type="dxa"/>
          <w:tblLook w:val="04A0"/>
        </w:tblPrEx>
        <w:tc>
          <w:tcPr>
            <w:tcW w:w="2977" w:type="dxa"/>
            <w:vAlign w:val="center"/>
          </w:tcPr>
          <w:p w:rsidR="00F52A8B" w:rsidRPr="004A7EC1" w:rsidP="00F12729">
            <w:pPr>
              <w:pStyle w:val="ListParagraph"/>
              <w:spacing w:after="0" w:line="240" w:lineRule="auto"/>
              <w:ind w:left="0"/>
              <w:rPr>
                <w:rFonts w:eastAsia="Times New Roman" w:asciiTheme="majorHAnsi" w:hAnsiTheme="majorHAnsi" w:cstheme="majorHAnsi"/>
                <w:lang w:eastAsia="en-GB"/>
              </w:rPr>
            </w:pPr>
            <w:r w:rsidRPr="00345832">
              <w:rPr>
                <w:rFonts w:eastAsia="Times New Roman" w:asciiTheme="majorHAnsi" w:hAnsiTheme="majorHAnsi" w:cstheme="majorHAnsi"/>
                <w:lang w:eastAsia="en-GB"/>
              </w:rPr>
              <w:t>Transform the way the council operates</w:t>
            </w:r>
          </w:p>
        </w:tc>
        <w:tc>
          <w:tcPr>
            <w:tcW w:w="1843" w:type="dxa"/>
            <w:vAlign w:val="center"/>
          </w:tcPr>
          <w:p w:rsidR="00F52A8B" w:rsidRPr="004A7EC1" w:rsidP="00F12729">
            <w:pPr>
              <w:pStyle w:val="ListParagraph"/>
              <w:spacing w:after="0" w:line="240" w:lineRule="auto"/>
              <w:ind w:left="0"/>
              <w:rPr>
                <w:rFonts w:eastAsia="Times New Roman" w:asciiTheme="majorHAnsi" w:hAnsiTheme="majorHAnsi" w:cstheme="majorHAnsi"/>
                <w:lang w:eastAsia="en-GB"/>
              </w:rPr>
            </w:pPr>
            <w:r>
              <w:rPr>
                <w:rFonts w:eastAsia="Times New Roman" w:asciiTheme="majorHAnsi" w:hAnsiTheme="majorHAnsi" w:cstheme="majorHAnsi"/>
                <w:lang w:eastAsia="en-GB"/>
              </w:rPr>
              <w:t>Green</w:t>
            </w:r>
          </w:p>
        </w:tc>
        <w:tc>
          <w:tcPr>
            <w:tcW w:w="4536" w:type="dxa"/>
          </w:tcPr>
          <w:p w:rsidR="00F52A8B" w:rsidRPr="004A7EC1" w:rsidP="00F12729">
            <w:pPr>
              <w:pStyle w:val="ListParagraph"/>
              <w:spacing w:after="0" w:line="240" w:lineRule="auto"/>
              <w:ind w:left="0"/>
              <w:rPr>
                <w:rFonts w:eastAsia="Times New Roman" w:asciiTheme="majorHAnsi" w:hAnsiTheme="majorHAnsi" w:cstheme="majorHAnsi"/>
                <w:lang w:eastAsia="en-GB"/>
              </w:rPr>
            </w:pPr>
            <w:r>
              <w:rPr>
                <w:rFonts w:eastAsia="Times New Roman" w:asciiTheme="majorHAnsi" w:hAnsiTheme="majorHAnsi" w:cstheme="majorHAnsi"/>
                <w:lang w:eastAsia="en-GB"/>
              </w:rPr>
              <w:t>This project was focussed on phase one and phase two of shared services. It encompasses the services within the Poli</w:t>
            </w:r>
            <w:r>
              <w:rPr>
                <w:rFonts w:eastAsia="Times New Roman" w:asciiTheme="majorHAnsi" w:hAnsiTheme="majorHAnsi" w:cstheme="majorHAnsi"/>
                <w:lang w:eastAsia="en-GB"/>
              </w:rPr>
              <w:t xml:space="preserve">cy and Governance directorate, ICT and Customer Services and the senior management team. The project has delivered significant savings and benefits to the council, building capacity and resilience. </w:t>
            </w:r>
          </w:p>
        </w:tc>
      </w:tr>
      <w:tr w:rsidTr="00F12729">
        <w:tblPrEx>
          <w:tblW w:w="9356" w:type="dxa"/>
          <w:tblInd w:w="-5" w:type="dxa"/>
          <w:tblLook w:val="04A0"/>
        </w:tblPrEx>
        <w:tc>
          <w:tcPr>
            <w:tcW w:w="2977" w:type="dxa"/>
            <w:vAlign w:val="center"/>
          </w:tcPr>
          <w:p w:rsidR="00F52A8B" w:rsidRPr="004A7EC1" w:rsidP="00F12729">
            <w:pPr>
              <w:pStyle w:val="ListParagraph"/>
              <w:spacing w:after="0" w:line="240" w:lineRule="auto"/>
              <w:ind w:left="0"/>
              <w:rPr>
                <w:rFonts w:eastAsia="Times New Roman" w:asciiTheme="majorHAnsi" w:hAnsiTheme="majorHAnsi" w:cstheme="majorHAnsi"/>
                <w:lang w:eastAsia="en-GB"/>
              </w:rPr>
            </w:pPr>
            <w:r w:rsidRPr="00345832">
              <w:rPr>
                <w:rFonts w:eastAsia="Times New Roman" w:asciiTheme="majorHAnsi" w:hAnsiTheme="majorHAnsi" w:cstheme="majorHAnsi"/>
                <w:lang w:eastAsia="en-GB"/>
              </w:rPr>
              <w:t>Work with partners to design and deliver better public s</w:t>
            </w:r>
            <w:r w:rsidRPr="00345832">
              <w:rPr>
                <w:rFonts w:eastAsia="Times New Roman" w:asciiTheme="majorHAnsi" w:hAnsiTheme="majorHAnsi" w:cstheme="majorHAnsi"/>
                <w:lang w:eastAsia="en-GB"/>
              </w:rPr>
              <w:t>ervice</w:t>
            </w:r>
          </w:p>
        </w:tc>
        <w:tc>
          <w:tcPr>
            <w:tcW w:w="1843" w:type="dxa"/>
            <w:vAlign w:val="center"/>
          </w:tcPr>
          <w:p w:rsidR="00F52A8B" w:rsidRPr="004A7EC1" w:rsidP="00F12729">
            <w:pPr>
              <w:pStyle w:val="ListParagraph"/>
              <w:spacing w:after="0" w:line="240" w:lineRule="auto"/>
              <w:ind w:left="0"/>
              <w:rPr>
                <w:rFonts w:eastAsia="Times New Roman" w:asciiTheme="majorHAnsi" w:hAnsiTheme="majorHAnsi" w:cstheme="majorHAnsi"/>
                <w:lang w:eastAsia="en-GB"/>
              </w:rPr>
            </w:pPr>
            <w:r>
              <w:rPr>
                <w:rFonts w:eastAsia="Times New Roman" w:asciiTheme="majorHAnsi" w:hAnsiTheme="majorHAnsi" w:cstheme="majorHAnsi"/>
                <w:lang w:eastAsia="en-GB"/>
              </w:rPr>
              <w:t>Complete</w:t>
            </w:r>
          </w:p>
        </w:tc>
        <w:tc>
          <w:tcPr>
            <w:tcW w:w="4536" w:type="dxa"/>
          </w:tcPr>
          <w:p w:rsidR="00F52A8B" w:rsidP="00F12729">
            <w:pPr>
              <w:pStyle w:val="ListParagraph"/>
              <w:spacing w:after="0" w:line="240" w:lineRule="auto"/>
              <w:ind w:left="0"/>
              <w:rPr>
                <w:rFonts w:eastAsia="Times New Roman" w:asciiTheme="majorHAnsi" w:hAnsiTheme="majorHAnsi" w:cstheme="majorHAnsi"/>
                <w:lang w:eastAsia="en-GB"/>
              </w:rPr>
            </w:pPr>
            <w:r>
              <w:rPr>
                <w:rFonts w:eastAsia="Times New Roman" w:asciiTheme="majorHAnsi" w:hAnsiTheme="majorHAnsi" w:cstheme="majorHAnsi"/>
                <w:lang w:eastAsia="en-GB"/>
              </w:rPr>
              <w:t>The project completed with the creation of the South Ribble and Chorley Partnership. The combined partnership was supported by partners, with support also given to a new strategy and action plan that was collectively developed and agreed.</w:t>
            </w:r>
          </w:p>
          <w:p w:rsidR="00F52A8B" w:rsidP="00F12729">
            <w:pPr>
              <w:pStyle w:val="ListParagraph"/>
              <w:spacing w:after="0" w:line="240" w:lineRule="auto"/>
              <w:ind w:left="0"/>
              <w:rPr>
                <w:rFonts w:eastAsia="Times New Roman" w:asciiTheme="majorHAnsi" w:hAnsiTheme="majorHAnsi" w:cstheme="majorHAnsi"/>
                <w:lang w:eastAsia="en-GB"/>
              </w:rPr>
            </w:pPr>
          </w:p>
          <w:p w:rsidR="00F52A8B" w:rsidRPr="004A7EC1" w:rsidP="00F12729">
            <w:pPr>
              <w:pStyle w:val="ListParagraph"/>
              <w:spacing w:after="0" w:line="240" w:lineRule="auto"/>
              <w:ind w:left="0"/>
              <w:rPr>
                <w:rFonts w:eastAsia="Times New Roman" w:asciiTheme="majorHAnsi" w:hAnsiTheme="majorHAnsi" w:cstheme="majorHAnsi"/>
                <w:lang w:eastAsia="en-GB"/>
              </w:rPr>
            </w:pPr>
            <w:r>
              <w:rPr>
                <w:rFonts w:eastAsia="Times New Roman" w:asciiTheme="majorHAnsi" w:hAnsiTheme="majorHAnsi" w:cstheme="majorHAnsi"/>
                <w:lang w:eastAsia="en-GB"/>
              </w:rPr>
              <w:t>An economic summit was held in November, bringing together key partners to discuss how to drive inclusive economic growth across the boroughs.</w:t>
            </w:r>
          </w:p>
        </w:tc>
      </w:tr>
      <w:tr w:rsidTr="00F12729">
        <w:tblPrEx>
          <w:tblW w:w="9356" w:type="dxa"/>
          <w:tblInd w:w="-5" w:type="dxa"/>
          <w:tblLook w:val="04A0"/>
        </w:tblPrEx>
        <w:tc>
          <w:tcPr>
            <w:tcW w:w="2977" w:type="dxa"/>
            <w:vAlign w:val="center"/>
          </w:tcPr>
          <w:p w:rsidR="00F52A8B" w:rsidRPr="004A7EC1" w:rsidP="00F12729">
            <w:pPr>
              <w:pStyle w:val="ListParagraph"/>
              <w:spacing w:after="0" w:line="240" w:lineRule="auto"/>
              <w:ind w:left="0"/>
              <w:rPr>
                <w:rFonts w:eastAsia="Times New Roman" w:asciiTheme="majorHAnsi" w:hAnsiTheme="majorHAnsi" w:cstheme="majorHAnsi"/>
                <w:lang w:eastAsia="en-GB"/>
              </w:rPr>
            </w:pPr>
            <w:r w:rsidRPr="00345832">
              <w:rPr>
                <w:rFonts w:eastAsia="Times New Roman" w:asciiTheme="majorHAnsi" w:hAnsiTheme="majorHAnsi" w:cstheme="majorHAnsi"/>
                <w:lang w:eastAsia="en-GB"/>
              </w:rPr>
              <w:t>Bring Worden Hall back into use</w:t>
            </w:r>
          </w:p>
        </w:tc>
        <w:tc>
          <w:tcPr>
            <w:tcW w:w="1843" w:type="dxa"/>
            <w:vAlign w:val="center"/>
          </w:tcPr>
          <w:p w:rsidR="00F52A8B" w:rsidRPr="004A7EC1" w:rsidP="00F12729">
            <w:pPr>
              <w:pStyle w:val="ListParagraph"/>
              <w:spacing w:after="0" w:line="240" w:lineRule="auto"/>
              <w:ind w:left="0"/>
              <w:rPr>
                <w:rFonts w:eastAsia="Times New Roman" w:asciiTheme="majorHAnsi" w:hAnsiTheme="majorHAnsi" w:cstheme="majorHAnsi"/>
                <w:lang w:eastAsia="en-GB"/>
              </w:rPr>
            </w:pPr>
            <w:r>
              <w:rPr>
                <w:rFonts w:eastAsia="Times New Roman" w:asciiTheme="majorHAnsi" w:hAnsiTheme="majorHAnsi" w:cstheme="majorHAnsi"/>
                <w:lang w:eastAsia="en-GB"/>
              </w:rPr>
              <w:t>Green</w:t>
            </w:r>
          </w:p>
        </w:tc>
        <w:tc>
          <w:tcPr>
            <w:tcW w:w="4536" w:type="dxa"/>
          </w:tcPr>
          <w:p w:rsidR="00F52A8B" w:rsidRPr="004A7EC1" w:rsidP="00F12729">
            <w:pPr>
              <w:pStyle w:val="ListParagraph"/>
              <w:spacing w:after="0" w:line="240" w:lineRule="auto"/>
              <w:ind w:left="0"/>
              <w:rPr>
                <w:rFonts w:eastAsia="Times New Roman" w:asciiTheme="majorHAnsi" w:hAnsiTheme="majorHAnsi" w:cstheme="majorHAnsi"/>
                <w:lang w:eastAsia="en-GB"/>
              </w:rPr>
            </w:pPr>
            <w:r>
              <w:rPr>
                <w:rFonts w:eastAsia="Times New Roman" w:asciiTheme="majorHAnsi" w:hAnsiTheme="majorHAnsi" w:cstheme="majorHAnsi"/>
                <w:lang w:eastAsia="en-GB"/>
              </w:rPr>
              <w:t xml:space="preserve">Refurbishment works are underway to the Worden Hall buildings. </w:t>
            </w:r>
            <w:r>
              <w:t xml:space="preserve">Completed refurbishment works to the buildings include, the outbuilding and the old conservatory have been demolished under </w:t>
            </w:r>
            <w:r>
              <w:t>the supervision of an archaeologist; the infill of the old basement h</w:t>
            </w:r>
            <w:r>
              <w:t>as also been completed to allow for the foundations for the new lift shaft and toilet block to be installed.</w:t>
            </w:r>
          </w:p>
        </w:tc>
      </w:tr>
    </w:tbl>
    <w:p w:rsidR="00F52A8B" w:rsidRPr="004A7EC1" w:rsidP="00F52A8B">
      <w:pPr>
        <w:pStyle w:val="ListParagraph"/>
        <w:spacing w:line="240" w:lineRule="auto"/>
        <w:ind w:left="360"/>
        <w:rPr>
          <w:rFonts w:ascii="Segoe UI" w:eastAsia="Times New Roman" w:hAnsi="Segoe UI" w:cs="Segoe UI"/>
          <w:sz w:val="21"/>
          <w:szCs w:val="21"/>
          <w:lang w:eastAsia="en-GB"/>
        </w:rPr>
      </w:pPr>
    </w:p>
    <w:p w:rsidR="00F52A8B" w:rsidRPr="004A7EC1" w:rsidP="00F52A8B">
      <w:pPr>
        <w:pStyle w:val="ListParagraph"/>
        <w:numPr>
          <w:ilvl w:val="0"/>
          <w:numId w:val="8"/>
        </w:numPr>
        <w:spacing w:line="240" w:lineRule="auto"/>
        <w:rPr>
          <w:rFonts w:ascii="Segoe UI" w:eastAsia="Times New Roman" w:hAnsi="Segoe UI" w:cs="Segoe UI"/>
          <w:sz w:val="21"/>
          <w:szCs w:val="21"/>
          <w:lang w:eastAsia="en-GB"/>
        </w:rPr>
      </w:pPr>
      <w:r w:rsidRPr="698CBF94">
        <w:t xml:space="preserve"> A refreshed Corporate Strategy was approved by council in November 2021. The portfolio is responsible for the delivery of the following projects</w:t>
      </w:r>
      <w:r w:rsidRPr="698CBF94">
        <w:t xml:space="preserve"> in the coming 12 months. </w:t>
      </w:r>
    </w:p>
    <w:p w:rsidR="00F52A8B" w:rsidRPr="004A7EC1" w:rsidP="00F52A8B">
      <w:pPr>
        <w:pStyle w:val="ListParagraph"/>
        <w:spacing w:after="0" w:line="240" w:lineRule="auto"/>
        <w:ind w:left="357"/>
        <w:contextualSpacing w:val="0"/>
        <w:rPr>
          <w:rFonts w:eastAsia="Times New Roman" w:asciiTheme="majorHAnsi" w:hAnsiTheme="majorHAnsi" w:cstheme="majorHAnsi"/>
          <w:lang w:eastAsia="en-GB"/>
        </w:rPr>
      </w:pPr>
    </w:p>
    <w:tbl>
      <w:tblPr>
        <w:tblStyle w:val="TableGrid"/>
        <w:tblW w:w="9356" w:type="dxa"/>
        <w:tblInd w:w="-5" w:type="dxa"/>
        <w:tblLook w:val="04A0"/>
      </w:tblPr>
      <w:tblGrid>
        <w:gridCol w:w="3828"/>
        <w:gridCol w:w="5528"/>
      </w:tblGrid>
      <w:tr w:rsidTr="00F12729">
        <w:tblPrEx>
          <w:tblW w:w="9356" w:type="dxa"/>
          <w:tblInd w:w="-5" w:type="dxa"/>
          <w:tblLook w:val="04A0"/>
        </w:tblPrEx>
        <w:tc>
          <w:tcPr>
            <w:tcW w:w="3828" w:type="dxa"/>
          </w:tcPr>
          <w:p w:rsidR="00F52A8B" w:rsidRPr="004A7EC1" w:rsidP="00F12729">
            <w:pPr>
              <w:pStyle w:val="ListParagraph"/>
              <w:spacing w:after="0" w:line="240" w:lineRule="auto"/>
              <w:ind w:left="0"/>
              <w:contextualSpacing w:val="0"/>
              <w:rPr>
                <w:rFonts w:eastAsia="Times New Roman" w:asciiTheme="majorHAnsi" w:hAnsiTheme="majorHAnsi" w:cstheme="majorHAnsi"/>
                <w:b/>
                <w:bCs/>
                <w:lang w:eastAsia="en-GB"/>
              </w:rPr>
            </w:pPr>
            <w:r>
              <w:rPr>
                <w:rFonts w:eastAsia="Times New Roman" w:asciiTheme="majorHAnsi" w:hAnsiTheme="majorHAnsi" w:cstheme="majorHAnsi"/>
                <w:b/>
                <w:bCs/>
                <w:lang w:eastAsia="en-GB"/>
              </w:rPr>
              <w:t>Key project</w:t>
            </w:r>
          </w:p>
        </w:tc>
        <w:tc>
          <w:tcPr>
            <w:tcW w:w="5528" w:type="dxa"/>
          </w:tcPr>
          <w:p w:rsidR="00F52A8B" w:rsidRPr="004A7EC1" w:rsidP="00F12729">
            <w:pPr>
              <w:pStyle w:val="ListParagraph"/>
              <w:spacing w:after="0" w:line="240" w:lineRule="auto"/>
              <w:ind w:left="0"/>
              <w:contextualSpacing w:val="0"/>
              <w:rPr>
                <w:rFonts w:eastAsia="Times New Roman" w:asciiTheme="majorHAnsi" w:hAnsiTheme="majorHAnsi" w:cstheme="majorHAnsi"/>
                <w:b/>
                <w:bCs/>
                <w:lang w:eastAsia="en-GB"/>
              </w:rPr>
            </w:pPr>
            <w:r w:rsidRPr="004A7EC1">
              <w:rPr>
                <w:rFonts w:eastAsia="Times New Roman" w:asciiTheme="majorHAnsi" w:hAnsiTheme="majorHAnsi" w:cstheme="majorHAnsi"/>
                <w:b/>
                <w:bCs/>
                <w:lang w:eastAsia="en-GB"/>
              </w:rPr>
              <w:t>Overview</w:t>
            </w:r>
          </w:p>
        </w:tc>
      </w:tr>
      <w:tr w:rsidTr="00F12729">
        <w:tblPrEx>
          <w:tblW w:w="9356" w:type="dxa"/>
          <w:tblInd w:w="-5" w:type="dxa"/>
          <w:tblLook w:val="04A0"/>
        </w:tblPrEx>
        <w:tc>
          <w:tcPr>
            <w:tcW w:w="3828" w:type="dxa"/>
          </w:tcPr>
          <w:p w:rsidR="00F52A8B" w:rsidP="00F12729">
            <w:pPr>
              <w:rPr>
                <w:rFonts w:eastAsia="Times New Roman" w:asciiTheme="majorHAnsi" w:hAnsiTheme="majorHAnsi" w:cstheme="majorHAnsi"/>
                <w:lang w:eastAsia="en-GB"/>
              </w:rPr>
            </w:pPr>
            <w:r w:rsidRPr="00345832">
              <w:rPr>
                <w:rFonts w:eastAsia="Times New Roman" w:asciiTheme="majorHAnsi" w:hAnsiTheme="majorHAnsi" w:cstheme="majorHAnsi"/>
                <w:lang w:eastAsia="en-GB"/>
              </w:rPr>
              <w:t>Deliver the peer challenge action plan to ensure continued improvement</w:t>
            </w:r>
          </w:p>
        </w:tc>
        <w:tc>
          <w:tcPr>
            <w:tcW w:w="5528" w:type="dxa"/>
          </w:tcPr>
          <w:p w:rsidR="00F52A8B" w:rsidP="00F12729">
            <w:pPr>
              <w:pStyle w:val="ListParagraph"/>
              <w:spacing w:after="0" w:line="240" w:lineRule="auto"/>
              <w:ind w:left="0"/>
              <w:contextualSpacing w:val="0"/>
              <w:rPr>
                <w:rFonts w:eastAsia="Times New Roman" w:asciiTheme="majorHAnsi" w:hAnsiTheme="majorHAnsi" w:cstheme="majorHAnsi"/>
                <w:lang w:eastAsia="en-GB"/>
              </w:rPr>
            </w:pPr>
            <w:r>
              <w:rPr>
                <w:rFonts w:eastAsia="Times New Roman" w:asciiTheme="majorHAnsi" w:hAnsiTheme="majorHAnsi" w:cstheme="majorHAnsi"/>
                <w:lang w:eastAsia="en-GB"/>
              </w:rPr>
              <w:t xml:space="preserve">An action plan has been produced in response to the recommendations made by the LGA peer team who undertook a review of the </w:t>
            </w:r>
            <w:r>
              <w:rPr>
                <w:rFonts w:eastAsia="Times New Roman" w:asciiTheme="majorHAnsi" w:hAnsiTheme="majorHAnsi" w:cstheme="majorHAnsi"/>
                <w:lang w:eastAsia="en-GB"/>
              </w:rPr>
              <w:t>council earlier in 2021. The action plan will ensure that the council continues to improve and to demonstrate that to key stakeholders.</w:t>
            </w:r>
          </w:p>
        </w:tc>
      </w:tr>
      <w:tr w:rsidTr="00F12729">
        <w:tblPrEx>
          <w:tblW w:w="9356" w:type="dxa"/>
          <w:tblInd w:w="-5" w:type="dxa"/>
          <w:tblLook w:val="04A0"/>
        </w:tblPrEx>
        <w:tc>
          <w:tcPr>
            <w:tcW w:w="3828" w:type="dxa"/>
          </w:tcPr>
          <w:p w:rsidR="00F52A8B" w:rsidP="00F12729">
            <w:pPr>
              <w:rPr>
                <w:rFonts w:eastAsia="Times New Roman" w:asciiTheme="majorHAnsi" w:hAnsiTheme="majorHAnsi" w:cstheme="majorHAnsi"/>
                <w:lang w:eastAsia="en-GB"/>
              </w:rPr>
            </w:pPr>
            <w:r w:rsidRPr="00AB5B5D">
              <w:rPr>
                <w:rFonts w:eastAsia="Times New Roman" w:asciiTheme="majorHAnsi" w:hAnsiTheme="majorHAnsi" w:cstheme="majorHAnsi"/>
                <w:lang w:eastAsia="en-GB"/>
              </w:rPr>
              <w:t>Deliver the shared services development plan to build a more</w:t>
            </w:r>
            <w:r>
              <w:rPr>
                <w:rFonts w:eastAsia="Times New Roman" w:asciiTheme="majorHAnsi" w:hAnsiTheme="majorHAnsi" w:cstheme="majorHAnsi"/>
                <w:lang w:eastAsia="en-GB"/>
              </w:rPr>
              <w:t xml:space="preserve"> </w:t>
            </w:r>
            <w:r w:rsidRPr="00AB5B5D">
              <w:rPr>
                <w:rFonts w:eastAsia="Times New Roman" w:asciiTheme="majorHAnsi" w:hAnsiTheme="majorHAnsi" w:cstheme="majorHAnsi"/>
                <w:lang w:eastAsia="en-GB"/>
              </w:rPr>
              <w:t>resilient organisation</w:t>
            </w:r>
          </w:p>
        </w:tc>
        <w:tc>
          <w:tcPr>
            <w:tcW w:w="5528" w:type="dxa"/>
          </w:tcPr>
          <w:p w:rsidR="00F52A8B" w:rsidP="00F12729">
            <w:pPr>
              <w:pStyle w:val="ListParagraph"/>
              <w:spacing w:after="0" w:line="240" w:lineRule="auto"/>
              <w:ind w:left="0"/>
              <w:contextualSpacing w:val="0"/>
              <w:rPr>
                <w:rFonts w:eastAsia="Times New Roman" w:asciiTheme="majorHAnsi" w:hAnsiTheme="majorHAnsi" w:cstheme="majorHAnsi"/>
                <w:lang w:eastAsia="en-GB"/>
              </w:rPr>
            </w:pPr>
            <w:r>
              <w:rPr>
                <w:rFonts w:eastAsia="Times New Roman" w:asciiTheme="majorHAnsi" w:hAnsiTheme="majorHAnsi" w:cstheme="majorHAnsi"/>
                <w:lang w:eastAsia="en-GB"/>
              </w:rPr>
              <w:t>During the reviews undertaken as pa</w:t>
            </w:r>
            <w:r>
              <w:rPr>
                <w:rFonts w:eastAsia="Times New Roman" w:asciiTheme="majorHAnsi" w:hAnsiTheme="majorHAnsi" w:cstheme="majorHAnsi"/>
                <w:lang w:eastAsia="en-GB"/>
              </w:rPr>
              <w:t>rt of phase one and phase two of shared services, a series of development plans have been produced to guide further change and ensure that shared services function effectively. This project will ensure those development plans are delivered effectively.</w:t>
            </w:r>
          </w:p>
        </w:tc>
      </w:tr>
      <w:tr w:rsidTr="00F12729">
        <w:tblPrEx>
          <w:tblW w:w="9356" w:type="dxa"/>
          <w:tblInd w:w="-5" w:type="dxa"/>
          <w:tblLook w:val="04A0"/>
        </w:tblPrEx>
        <w:tc>
          <w:tcPr>
            <w:tcW w:w="3828" w:type="dxa"/>
          </w:tcPr>
          <w:p w:rsidR="00F52A8B" w:rsidP="00F12729">
            <w:pPr>
              <w:pStyle w:val="ListParagraph"/>
              <w:spacing w:after="0" w:line="240" w:lineRule="auto"/>
              <w:ind w:left="0"/>
              <w:contextualSpacing w:val="0"/>
              <w:rPr>
                <w:rFonts w:eastAsia="Times New Roman" w:asciiTheme="majorHAnsi" w:hAnsiTheme="majorHAnsi" w:cstheme="majorHAnsi"/>
                <w:lang w:eastAsia="en-GB"/>
              </w:rPr>
            </w:pPr>
            <w:r>
              <w:t>Im</w:t>
            </w:r>
            <w:r>
              <w:t>plement more efficient and effective working practices at the council through the Workplace Strategy</w:t>
            </w:r>
          </w:p>
        </w:tc>
        <w:tc>
          <w:tcPr>
            <w:tcW w:w="5528" w:type="dxa"/>
          </w:tcPr>
          <w:p w:rsidR="00F52A8B" w:rsidP="00F12729">
            <w:pPr>
              <w:pStyle w:val="ListParagraph"/>
              <w:spacing w:after="0" w:line="240" w:lineRule="auto"/>
              <w:ind w:left="0"/>
              <w:contextualSpacing w:val="0"/>
              <w:rPr>
                <w:rFonts w:eastAsia="Times New Roman" w:asciiTheme="majorHAnsi" w:hAnsiTheme="majorHAnsi" w:cstheme="majorHAnsi"/>
                <w:lang w:eastAsia="en-GB"/>
              </w:rPr>
            </w:pPr>
            <w:r>
              <w:rPr>
                <w:rFonts w:eastAsia="Times New Roman" w:asciiTheme="majorHAnsi" w:hAnsiTheme="majorHAnsi" w:cstheme="majorHAnsi"/>
                <w:lang w:eastAsia="en-GB"/>
              </w:rPr>
              <w:t>The workplace strategy was developed and agreed earlier in the year. It seeks to ensure that the council has workspaces that are fit for purpose, make best</w:t>
            </w:r>
            <w:r>
              <w:rPr>
                <w:rFonts w:eastAsia="Times New Roman" w:asciiTheme="majorHAnsi" w:hAnsiTheme="majorHAnsi" w:cstheme="majorHAnsi"/>
                <w:lang w:eastAsia="en-GB"/>
              </w:rPr>
              <w:t xml:space="preserve"> use of technology and that the way that officers work deliver the best services to our residents.</w:t>
            </w:r>
          </w:p>
        </w:tc>
      </w:tr>
      <w:tr w:rsidTr="00F12729">
        <w:tblPrEx>
          <w:tblW w:w="9356" w:type="dxa"/>
          <w:tblInd w:w="-5" w:type="dxa"/>
          <w:tblLook w:val="04A0"/>
        </w:tblPrEx>
        <w:tc>
          <w:tcPr>
            <w:tcW w:w="3828" w:type="dxa"/>
          </w:tcPr>
          <w:p w:rsidR="00F52A8B" w:rsidP="00F12729">
            <w:pPr>
              <w:pStyle w:val="ListParagraph"/>
              <w:spacing w:after="0" w:line="240" w:lineRule="auto"/>
              <w:ind w:left="0"/>
              <w:contextualSpacing w:val="0"/>
              <w:rPr>
                <w:rFonts w:eastAsia="Times New Roman" w:asciiTheme="majorHAnsi" w:hAnsiTheme="majorHAnsi" w:cstheme="majorHAnsi"/>
                <w:lang w:eastAsia="en-GB"/>
              </w:rPr>
            </w:pPr>
            <w:r>
              <w:t>Deliver more joined up public services through working with our partners</w:t>
            </w:r>
          </w:p>
        </w:tc>
        <w:tc>
          <w:tcPr>
            <w:tcW w:w="5528" w:type="dxa"/>
          </w:tcPr>
          <w:p w:rsidR="00F52A8B" w:rsidP="00F12729">
            <w:pPr>
              <w:pStyle w:val="ListParagraph"/>
              <w:spacing w:after="0" w:line="240" w:lineRule="auto"/>
              <w:ind w:left="0"/>
              <w:contextualSpacing w:val="0"/>
              <w:rPr>
                <w:rFonts w:eastAsia="Times New Roman" w:asciiTheme="majorHAnsi" w:hAnsiTheme="majorHAnsi" w:cstheme="majorHAnsi"/>
                <w:lang w:eastAsia="en-GB"/>
              </w:rPr>
            </w:pPr>
            <w:r>
              <w:rPr>
                <w:rFonts w:eastAsia="Times New Roman" w:asciiTheme="majorHAnsi" w:hAnsiTheme="majorHAnsi" w:cstheme="majorHAnsi"/>
                <w:lang w:eastAsia="en-GB"/>
              </w:rPr>
              <w:t xml:space="preserve">The project in last year’s Corporate Strategy established a new partnership with a </w:t>
            </w:r>
            <w:r>
              <w:rPr>
                <w:rFonts w:eastAsia="Times New Roman" w:asciiTheme="majorHAnsi" w:hAnsiTheme="majorHAnsi" w:cstheme="majorHAnsi"/>
                <w:lang w:eastAsia="en-GB"/>
              </w:rPr>
              <w:t>strategy and action plan. This project will work to deliver that strategy and action plan.</w:t>
            </w:r>
          </w:p>
        </w:tc>
      </w:tr>
      <w:tr w:rsidTr="00F12729">
        <w:tblPrEx>
          <w:tblW w:w="9356" w:type="dxa"/>
          <w:tblInd w:w="-5" w:type="dxa"/>
          <w:tblLook w:val="04A0"/>
        </w:tblPrEx>
        <w:tc>
          <w:tcPr>
            <w:tcW w:w="3828" w:type="dxa"/>
          </w:tcPr>
          <w:p w:rsidR="00F52A8B" w:rsidP="00F12729">
            <w:pPr>
              <w:pStyle w:val="ListParagraph"/>
              <w:spacing w:after="0" w:line="240" w:lineRule="auto"/>
              <w:ind w:left="0"/>
              <w:contextualSpacing w:val="0"/>
            </w:pPr>
            <w:r>
              <w:t>Deliver Music in the Park 2022 and Queen’s Jubilee Celebrations</w:t>
            </w:r>
          </w:p>
        </w:tc>
        <w:tc>
          <w:tcPr>
            <w:tcW w:w="5528" w:type="dxa"/>
          </w:tcPr>
          <w:p w:rsidR="00F52A8B" w:rsidP="00F12729">
            <w:pPr>
              <w:pStyle w:val="ListParagraph"/>
              <w:spacing w:after="0" w:line="240" w:lineRule="auto"/>
              <w:ind w:left="0"/>
              <w:contextualSpacing w:val="0"/>
              <w:rPr>
                <w:rFonts w:eastAsia="Times New Roman" w:asciiTheme="majorHAnsi" w:hAnsiTheme="majorHAnsi" w:cstheme="majorHAnsi"/>
                <w:lang w:eastAsia="en-GB"/>
              </w:rPr>
            </w:pPr>
            <w:r>
              <w:rPr>
                <w:rFonts w:eastAsia="Times New Roman" w:asciiTheme="majorHAnsi" w:hAnsiTheme="majorHAnsi" w:cstheme="majorHAnsi"/>
                <w:lang w:eastAsia="en-GB"/>
              </w:rPr>
              <w:t>This series of major events around the Queen’s Jubilee celebrations will showcase South Ribble as we</w:t>
            </w:r>
            <w:r>
              <w:rPr>
                <w:rFonts w:eastAsia="Times New Roman" w:asciiTheme="majorHAnsi" w:hAnsiTheme="majorHAnsi" w:cstheme="majorHAnsi"/>
                <w:lang w:eastAsia="en-GB"/>
              </w:rPr>
              <w:t>ll as providing the borough’s communities the opportunity to come together and celebrate.</w:t>
            </w:r>
          </w:p>
        </w:tc>
      </w:tr>
      <w:tr w:rsidTr="00F12729">
        <w:tblPrEx>
          <w:tblW w:w="9356" w:type="dxa"/>
          <w:tblInd w:w="-5" w:type="dxa"/>
          <w:tblLook w:val="04A0"/>
        </w:tblPrEx>
        <w:tc>
          <w:tcPr>
            <w:tcW w:w="3828" w:type="dxa"/>
          </w:tcPr>
          <w:p w:rsidR="00F52A8B" w:rsidP="00F12729">
            <w:pPr>
              <w:pStyle w:val="ListParagraph"/>
              <w:spacing w:after="0" w:line="240" w:lineRule="auto"/>
              <w:ind w:left="0"/>
              <w:contextualSpacing w:val="0"/>
            </w:pPr>
            <w:r>
              <w:t>Develop the visitor offer in South Ribble.</w:t>
            </w:r>
          </w:p>
        </w:tc>
        <w:tc>
          <w:tcPr>
            <w:tcW w:w="5528" w:type="dxa"/>
          </w:tcPr>
          <w:p w:rsidR="00F52A8B" w:rsidP="00F12729">
            <w:pPr>
              <w:pStyle w:val="ListParagraph"/>
              <w:spacing w:after="0" w:line="240" w:lineRule="auto"/>
              <w:ind w:left="0"/>
              <w:contextualSpacing w:val="0"/>
              <w:rPr>
                <w:rFonts w:eastAsia="Times New Roman" w:asciiTheme="majorHAnsi" w:hAnsiTheme="majorHAnsi" w:cstheme="majorHAnsi"/>
                <w:lang w:eastAsia="en-GB"/>
              </w:rPr>
            </w:pPr>
            <w:r>
              <w:rPr>
                <w:rFonts w:eastAsia="Times New Roman" w:asciiTheme="majorHAnsi" w:hAnsiTheme="majorHAnsi" w:cstheme="majorHAnsi"/>
                <w:lang w:eastAsia="en-GB"/>
              </w:rPr>
              <w:t xml:space="preserve">This project will create a tourism strategy for South Ribble and promote the borough’s visitor economy as it continues to </w:t>
            </w:r>
            <w:r>
              <w:rPr>
                <w:rFonts w:eastAsia="Times New Roman" w:asciiTheme="majorHAnsi" w:hAnsiTheme="majorHAnsi" w:cstheme="majorHAnsi"/>
                <w:lang w:eastAsia="en-GB"/>
              </w:rPr>
              <w:t>recover from the pandemic.</w:t>
            </w:r>
          </w:p>
        </w:tc>
      </w:tr>
      <w:tr w:rsidTr="00F12729">
        <w:tblPrEx>
          <w:tblW w:w="9356" w:type="dxa"/>
          <w:tblInd w:w="-5" w:type="dxa"/>
          <w:tblLook w:val="04A0"/>
        </w:tblPrEx>
        <w:tc>
          <w:tcPr>
            <w:tcW w:w="3828" w:type="dxa"/>
          </w:tcPr>
          <w:p w:rsidR="00F52A8B" w:rsidP="00F12729">
            <w:pPr>
              <w:pStyle w:val="ListParagraph"/>
              <w:spacing w:after="0" w:line="240" w:lineRule="auto"/>
              <w:ind w:left="0"/>
              <w:contextualSpacing w:val="0"/>
            </w:pPr>
            <w:r>
              <w:t>Deliver the new Worden Hall complex as a flagship venue</w:t>
            </w:r>
          </w:p>
        </w:tc>
        <w:tc>
          <w:tcPr>
            <w:tcW w:w="5528" w:type="dxa"/>
          </w:tcPr>
          <w:p w:rsidR="00F52A8B" w:rsidP="00F12729">
            <w:pPr>
              <w:pStyle w:val="ListParagraph"/>
              <w:spacing w:after="0" w:line="240" w:lineRule="auto"/>
              <w:ind w:left="0"/>
              <w:contextualSpacing w:val="0"/>
              <w:rPr>
                <w:rFonts w:eastAsia="Times New Roman" w:asciiTheme="majorHAnsi" w:hAnsiTheme="majorHAnsi" w:cstheme="majorHAnsi"/>
                <w:lang w:eastAsia="en-GB"/>
              </w:rPr>
            </w:pPr>
            <w:r>
              <w:rPr>
                <w:rFonts w:eastAsia="Times New Roman" w:asciiTheme="majorHAnsi" w:hAnsiTheme="majorHAnsi" w:cstheme="majorHAnsi"/>
                <w:lang w:eastAsia="en-GB"/>
              </w:rPr>
              <w:t xml:space="preserve">The restoration works to the complex will complete in 2022. This project will focus on the plans for opening the new facilities and ensuring that they are well used and </w:t>
            </w:r>
            <w:r>
              <w:rPr>
                <w:rFonts w:eastAsia="Times New Roman" w:asciiTheme="majorHAnsi" w:hAnsiTheme="majorHAnsi" w:cstheme="majorHAnsi"/>
                <w:lang w:eastAsia="en-GB"/>
              </w:rPr>
              <w:t>encourage visitors to Worden.</w:t>
            </w:r>
          </w:p>
        </w:tc>
      </w:tr>
    </w:tbl>
    <w:p w:rsidR="00F52A8B" w:rsidP="00F52A8B">
      <w:pPr>
        <w:spacing w:after="0" w:line="240" w:lineRule="auto"/>
        <w:rPr>
          <w:rFonts w:eastAsia="Times New Roman" w:asciiTheme="majorHAnsi" w:hAnsiTheme="majorHAnsi" w:cstheme="majorHAnsi"/>
          <w:lang w:eastAsia="en-GB"/>
        </w:rPr>
      </w:pPr>
    </w:p>
    <w:p w:rsidR="00F52A8B" w:rsidRPr="00CD0EE3" w:rsidP="00F52A8B">
      <w:pPr>
        <w:pStyle w:val="ListParagraph"/>
        <w:spacing w:after="0" w:line="240" w:lineRule="auto"/>
        <w:ind w:left="360"/>
        <w:rPr>
          <w:rFonts w:eastAsia="Times New Roman" w:asciiTheme="majorHAnsi" w:hAnsiTheme="majorHAnsi" w:cstheme="majorHAnsi"/>
          <w:lang w:eastAsia="en-GB"/>
        </w:rPr>
      </w:pPr>
    </w:p>
    <w:p w:rsidR="00F52A8B" w:rsidP="00F52A8B">
      <w:pPr>
        <w:spacing w:after="0" w:line="240" w:lineRule="auto"/>
        <w:rPr>
          <w:rFonts w:eastAsia="Times New Roman" w:asciiTheme="majorHAnsi" w:hAnsiTheme="majorHAnsi" w:cstheme="majorHAnsi"/>
          <w:lang w:eastAsia="en-GB"/>
        </w:rPr>
      </w:pPr>
    </w:p>
    <w:p w:rsidR="00F52A8B" w:rsidRPr="000B75E3" w:rsidP="00F52A8B">
      <w:pPr>
        <w:spacing w:after="0" w:line="240" w:lineRule="auto"/>
        <w:rPr>
          <w:rFonts w:eastAsia="Times New Roman" w:asciiTheme="majorHAnsi" w:hAnsiTheme="majorHAnsi" w:cstheme="majorHAnsi"/>
          <w:b/>
          <w:bCs/>
          <w:lang w:eastAsia="en-GB"/>
        </w:rPr>
      </w:pPr>
      <w:r>
        <w:rPr>
          <w:rFonts w:eastAsia="Times New Roman" w:asciiTheme="majorHAnsi" w:hAnsiTheme="majorHAnsi" w:cstheme="majorHAnsi"/>
          <w:b/>
          <w:bCs/>
          <w:lang w:eastAsia="en-GB"/>
        </w:rPr>
        <w:t>Communications and Visitor Economy</w:t>
      </w:r>
    </w:p>
    <w:p w:rsidR="00F52A8B" w:rsidRPr="000E5A80" w:rsidP="00F52A8B">
      <w:pPr>
        <w:spacing w:after="0" w:line="240" w:lineRule="auto"/>
        <w:rPr>
          <w:rFonts w:eastAsia="Times New Roman" w:asciiTheme="majorHAnsi" w:hAnsiTheme="majorHAnsi" w:cstheme="majorHAnsi"/>
          <w:lang w:eastAsia="en-GB"/>
        </w:rPr>
      </w:pPr>
    </w:p>
    <w:p w:rsidR="00F52A8B" w:rsidP="00F52A8B">
      <w:pPr>
        <w:pStyle w:val="ListParagraph"/>
        <w:numPr>
          <w:ilvl w:val="0"/>
          <w:numId w:val="8"/>
        </w:numPr>
        <w:spacing w:after="0" w:line="240" w:lineRule="auto"/>
        <w:rPr>
          <w:rFonts w:eastAsia="Times New Roman" w:asciiTheme="majorHAnsi" w:hAnsiTheme="majorHAnsi" w:cstheme="majorBidi"/>
          <w:lang w:eastAsia="en-GB"/>
        </w:rPr>
      </w:pPr>
      <w:r w:rsidRPr="698CBF94">
        <w:rPr>
          <w:rFonts w:eastAsia="Times New Roman" w:asciiTheme="majorHAnsi" w:hAnsiTheme="majorHAnsi" w:cstheme="majorBidi"/>
          <w:lang w:eastAsia="en-GB"/>
        </w:rPr>
        <w:t xml:space="preserve">The council’s Communications and Visitor Economy service provides internal and external communications; branding and graphic design; events; and, museums and tourism. </w:t>
      </w:r>
    </w:p>
    <w:p w:rsidR="00F52A8B" w:rsidP="00F52A8B">
      <w:pPr>
        <w:pStyle w:val="ListParagraph"/>
        <w:spacing w:after="0" w:line="240" w:lineRule="auto"/>
        <w:ind w:left="360"/>
        <w:rPr>
          <w:rFonts w:eastAsia="Times New Roman" w:asciiTheme="majorHAnsi" w:hAnsiTheme="majorHAnsi" w:cstheme="majorHAnsi"/>
          <w:lang w:eastAsia="en-GB"/>
        </w:rPr>
      </w:pPr>
    </w:p>
    <w:p w:rsidR="00F52A8B" w:rsidP="00F52A8B">
      <w:pPr>
        <w:pStyle w:val="ListParagraph"/>
        <w:numPr>
          <w:ilvl w:val="0"/>
          <w:numId w:val="8"/>
        </w:numPr>
        <w:spacing w:after="0" w:line="240" w:lineRule="auto"/>
        <w:rPr>
          <w:rFonts w:eastAsia="Times New Roman" w:asciiTheme="majorHAnsi" w:hAnsiTheme="majorHAnsi" w:cstheme="majorBidi"/>
          <w:lang w:eastAsia="en-GB"/>
        </w:rPr>
      </w:pPr>
      <w:r w:rsidRPr="698CBF94">
        <w:rPr>
          <w:rFonts w:eastAsia="Times New Roman" w:asciiTheme="majorHAnsi" w:hAnsiTheme="majorHAnsi" w:cstheme="majorBidi"/>
          <w:lang w:eastAsia="en-GB"/>
        </w:rPr>
        <w:t xml:space="preserve">The service has in place a business plan to set out the key actions it will deliver of </w:t>
      </w:r>
      <w:r w:rsidRPr="698CBF94">
        <w:rPr>
          <w:rFonts w:eastAsia="Times New Roman" w:asciiTheme="majorHAnsi" w:hAnsiTheme="majorHAnsi" w:cstheme="majorBidi"/>
          <w:lang w:eastAsia="en-GB"/>
        </w:rPr>
        <w:t>the year. The table below provides an update on those key actions.</w:t>
      </w:r>
    </w:p>
    <w:p w:rsidR="00F52A8B" w:rsidP="00F52A8B">
      <w:pPr>
        <w:spacing w:after="0" w:line="240" w:lineRule="auto"/>
        <w:rPr>
          <w:rFonts w:eastAsia="Times New Roman" w:asciiTheme="majorHAnsi" w:hAnsiTheme="majorHAnsi" w:cstheme="majorHAnsi"/>
          <w:lang w:eastAsia="en-GB"/>
        </w:rPr>
      </w:pPr>
    </w:p>
    <w:tbl>
      <w:tblPr>
        <w:tblStyle w:val="TableGrid"/>
        <w:tblW w:w="0" w:type="auto"/>
        <w:tblLook w:val="04A0"/>
      </w:tblPr>
      <w:tblGrid>
        <w:gridCol w:w="2972"/>
        <w:gridCol w:w="6044"/>
      </w:tblGrid>
      <w:tr w:rsidTr="00F12729">
        <w:tblPrEx>
          <w:tblW w:w="0" w:type="auto"/>
          <w:tblLook w:val="04A0"/>
        </w:tblPrEx>
        <w:tc>
          <w:tcPr>
            <w:tcW w:w="2972" w:type="dxa"/>
          </w:tcPr>
          <w:p w:rsidR="00F52A8B" w:rsidRPr="00B06490" w:rsidP="00F12729">
            <w:pPr>
              <w:rPr>
                <w:rFonts w:eastAsia="Times New Roman" w:asciiTheme="majorHAnsi" w:hAnsiTheme="majorHAnsi" w:cstheme="majorHAnsi"/>
                <w:b/>
                <w:bCs/>
                <w:lang w:eastAsia="en-GB"/>
              </w:rPr>
            </w:pPr>
            <w:r>
              <w:rPr>
                <w:rFonts w:eastAsia="Times New Roman" w:asciiTheme="majorHAnsi" w:hAnsiTheme="majorHAnsi" w:cstheme="majorHAnsi"/>
                <w:b/>
                <w:bCs/>
                <w:lang w:eastAsia="en-GB"/>
              </w:rPr>
              <w:t>Key actions</w:t>
            </w:r>
          </w:p>
        </w:tc>
        <w:tc>
          <w:tcPr>
            <w:tcW w:w="6044" w:type="dxa"/>
          </w:tcPr>
          <w:p w:rsidR="00F52A8B" w:rsidRPr="00B06490" w:rsidP="00F12729">
            <w:pPr>
              <w:rPr>
                <w:rFonts w:eastAsia="Times New Roman" w:asciiTheme="majorHAnsi" w:hAnsiTheme="majorHAnsi" w:cstheme="majorHAnsi"/>
                <w:b/>
                <w:bCs/>
                <w:lang w:eastAsia="en-GB"/>
              </w:rPr>
            </w:pPr>
            <w:r w:rsidRPr="00B06490">
              <w:rPr>
                <w:rFonts w:eastAsia="Times New Roman" w:asciiTheme="majorHAnsi" w:hAnsiTheme="majorHAnsi" w:cstheme="majorHAnsi"/>
                <w:b/>
                <w:bCs/>
                <w:lang w:eastAsia="en-GB"/>
              </w:rPr>
              <w:t>Update</w:t>
            </w:r>
          </w:p>
        </w:tc>
      </w:tr>
      <w:tr w:rsidTr="00F12729">
        <w:tblPrEx>
          <w:tblW w:w="0" w:type="auto"/>
          <w:tblLook w:val="04A0"/>
        </w:tblPrEx>
        <w:tc>
          <w:tcPr>
            <w:tcW w:w="2972" w:type="dxa"/>
          </w:tcPr>
          <w:p w:rsidR="00F52A8B" w:rsidP="00F12729">
            <w:pPr>
              <w:rPr>
                <w:rFonts w:eastAsia="Times New Roman" w:asciiTheme="majorHAnsi" w:hAnsiTheme="majorHAnsi" w:cstheme="majorBidi"/>
                <w:lang w:eastAsia="en-GB"/>
              </w:rPr>
            </w:pPr>
            <w:r w:rsidRPr="72C41A2D">
              <w:rPr>
                <w:rFonts w:eastAsia="Times New Roman" w:asciiTheme="majorHAnsi" w:hAnsiTheme="majorHAnsi" w:cstheme="majorBidi"/>
                <w:lang w:eastAsia="en-GB"/>
              </w:rPr>
              <w:t>Deliver a plan for the operation of Worden Hall</w:t>
            </w:r>
          </w:p>
        </w:tc>
        <w:tc>
          <w:tcPr>
            <w:tcW w:w="6044" w:type="dxa"/>
          </w:tcPr>
          <w:p w:rsidR="00F52A8B" w:rsidP="00F12729">
            <w:pPr>
              <w:rPr>
                <w:rFonts w:eastAsia="Times New Roman" w:asciiTheme="majorHAnsi" w:hAnsiTheme="majorHAnsi" w:cstheme="majorBidi"/>
                <w:lang w:eastAsia="en-GB"/>
              </w:rPr>
            </w:pPr>
            <w:r w:rsidRPr="72C41A2D">
              <w:rPr>
                <w:rFonts w:eastAsia="Times New Roman" w:asciiTheme="majorHAnsi" w:hAnsiTheme="majorHAnsi" w:cstheme="majorBidi"/>
                <w:lang w:eastAsia="en-GB"/>
              </w:rPr>
              <w:t xml:space="preserve">The new team to take on the operation of Worden Hall has been created and we are now recruiting to the remaining posts in that structure. </w:t>
            </w:r>
          </w:p>
          <w:p w:rsidR="00F52A8B" w:rsidP="00F12729">
            <w:pPr>
              <w:rPr>
                <w:rFonts w:eastAsia="Times New Roman" w:asciiTheme="majorHAnsi" w:hAnsiTheme="majorHAnsi" w:cstheme="majorBidi"/>
                <w:lang w:eastAsia="en-GB"/>
              </w:rPr>
            </w:pPr>
          </w:p>
          <w:p w:rsidR="00F52A8B" w:rsidP="00F12729">
            <w:pPr>
              <w:rPr>
                <w:rFonts w:eastAsia="Times New Roman" w:asciiTheme="majorHAnsi" w:hAnsiTheme="majorHAnsi" w:cstheme="majorBidi"/>
                <w:lang w:eastAsia="en-GB"/>
              </w:rPr>
            </w:pPr>
            <w:r w:rsidRPr="72C41A2D">
              <w:rPr>
                <w:rFonts w:eastAsia="Times New Roman" w:asciiTheme="majorHAnsi" w:hAnsiTheme="majorHAnsi" w:cstheme="majorBidi"/>
                <w:lang w:eastAsia="en-GB"/>
              </w:rPr>
              <w:t>Work on a detailed business plan is underway with a draft for the first year of operation due in January.</w:t>
            </w:r>
          </w:p>
        </w:tc>
      </w:tr>
      <w:tr w:rsidTr="00F12729">
        <w:tblPrEx>
          <w:tblW w:w="0" w:type="auto"/>
          <w:tblLook w:val="04A0"/>
        </w:tblPrEx>
        <w:tc>
          <w:tcPr>
            <w:tcW w:w="2972" w:type="dxa"/>
          </w:tcPr>
          <w:p w:rsidR="00F52A8B" w:rsidP="00F12729">
            <w:pPr>
              <w:rPr>
                <w:rFonts w:eastAsia="Times New Roman" w:asciiTheme="majorHAnsi" w:hAnsiTheme="majorHAnsi" w:cstheme="majorBidi"/>
                <w:lang w:eastAsia="en-GB"/>
              </w:rPr>
            </w:pPr>
            <w:r w:rsidRPr="72C41A2D">
              <w:rPr>
                <w:rFonts w:eastAsia="Times New Roman" w:asciiTheme="majorHAnsi" w:hAnsiTheme="majorHAnsi" w:cstheme="majorBidi"/>
                <w:lang w:eastAsia="en-GB"/>
              </w:rPr>
              <w:t>Deliver t</w:t>
            </w:r>
            <w:r w:rsidRPr="72C41A2D">
              <w:rPr>
                <w:rFonts w:eastAsia="Times New Roman" w:asciiTheme="majorHAnsi" w:hAnsiTheme="majorHAnsi" w:cstheme="majorBidi"/>
                <w:lang w:eastAsia="en-GB"/>
              </w:rPr>
              <w:t>he 2021 events programme</w:t>
            </w:r>
          </w:p>
        </w:tc>
        <w:tc>
          <w:tcPr>
            <w:tcW w:w="6044" w:type="dxa"/>
          </w:tcPr>
          <w:p w:rsidR="00F52A8B" w:rsidP="00F12729">
            <w:pPr>
              <w:rPr>
                <w:rFonts w:eastAsia="Times New Roman" w:asciiTheme="majorHAnsi" w:hAnsiTheme="majorHAnsi" w:cstheme="majorBidi"/>
                <w:lang w:eastAsia="en-GB"/>
              </w:rPr>
            </w:pPr>
            <w:r w:rsidRPr="72C41A2D">
              <w:rPr>
                <w:rFonts w:eastAsia="Times New Roman" w:asciiTheme="majorHAnsi" w:hAnsiTheme="majorHAnsi" w:cstheme="majorBidi"/>
                <w:lang w:eastAsia="en-GB"/>
              </w:rPr>
              <w:t>The lifting of restrictions has allowed us to successfully deliver the A Taste of Leyland and Christmas Lights Switch On events. The work on this year’s events is complete with planning and preparation for the 2022 events well unde</w:t>
            </w:r>
            <w:r w:rsidRPr="72C41A2D">
              <w:rPr>
                <w:rFonts w:eastAsia="Times New Roman" w:asciiTheme="majorHAnsi" w:hAnsiTheme="majorHAnsi" w:cstheme="majorBidi"/>
                <w:lang w:eastAsia="en-GB"/>
              </w:rPr>
              <w:t>rway.</w:t>
            </w:r>
          </w:p>
        </w:tc>
      </w:tr>
      <w:tr w:rsidTr="00F12729">
        <w:tblPrEx>
          <w:tblW w:w="0" w:type="auto"/>
          <w:tblLook w:val="04A0"/>
        </w:tblPrEx>
        <w:tc>
          <w:tcPr>
            <w:tcW w:w="2972" w:type="dxa"/>
          </w:tcPr>
          <w:p w:rsidR="00F52A8B" w:rsidP="00F12729">
            <w:pPr>
              <w:rPr>
                <w:rFonts w:eastAsia="Times New Roman" w:asciiTheme="majorHAnsi" w:hAnsiTheme="majorHAnsi" w:cstheme="majorBidi"/>
                <w:lang w:eastAsia="en-GB"/>
              </w:rPr>
            </w:pPr>
            <w:r w:rsidRPr="72C41A2D">
              <w:rPr>
                <w:rFonts w:eastAsia="Times New Roman" w:asciiTheme="majorHAnsi" w:hAnsiTheme="majorHAnsi" w:cstheme="majorBidi"/>
                <w:lang w:eastAsia="en-GB"/>
              </w:rPr>
              <w:t>Delivery of the new external communications strategy</w:t>
            </w:r>
          </w:p>
        </w:tc>
        <w:tc>
          <w:tcPr>
            <w:tcW w:w="6044" w:type="dxa"/>
          </w:tcPr>
          <w:p w:rsidR="00F52A8B" w:rsidP="00F12729">
            <w:pPr>
              <w:rPr>
                <w:rFonts w:eastAsia="Times New Roman" w:asciiTheme="majorHAnsi" w:hAnsiTheme="majorHAnsi" w:cstheme="majorBidi"/>
                <w:lang w:eastAsia="en-GB"/>
              </w:rPr>
            </w:pPr>
            <w:r w:rsidRPr="72C41A2D">
              <w:rPr>
                <w:rFonts w:eastAsia="Times New Roman" w:asciiTheme="majorHAnsi" w:hAnsiTheme="majorHAnsi" w:cstheme="majorBidi"/>
                <w:lang w:eastAsia="en-GB"/>
              </w:rPr>
              <w:t xml:space="preserve">Work has progressed on all elements of this – communications planning, a review of internal communications and how we do digital communications better. </w:t>
            </w:r>
            <w:r w:rsidRPr="698CBF94">
              <w:rPr>
                <w:rFonts w:eastAsia="Times New Roman" w:asciiTheme="majorHAnsi" w:hAnsiTheme="majorHAnsi" w:cstheme="majorBidi"/>
                <w:lang w:eastAsia="en-GB"/>
              </w:rPr>
              <w:t xml:space="preserve">Some elements, such as creating a new </w:t>
            </w:r>
            <w:r w:rsidRPr="698CBF94">
              <w:rPr>
                <w:rFonts w:eastAsia="Times New Roman" w:asciiTheme="majorHAnsi" w:hAnsiTheme="majorHAnsi" w:cstheme="majorBidi"/>
                <w:lang w:eastAsia="en-GB"/>
              </w:rPr>
              <w:t>internal communications strategy,</w:t>
            </w:r>
            <w:r w:rsidRPr="72C41A2D">
              <w:rPr>
                <w:rFonts w:eastAsia="Times New Roman" w:asciiTheme="majorHAnsi" w:hAnsiTheme="majorHAnsi" w:cstheme="majorBidi"/>
                <w:lang w:eastAsia="en-GB"/>
              </w:rPr>
              <w:t xml:space="preserve"> have not progressed as quickly as we would have liked but plans are in place to ensure all actions in the strategy are delivered early in 2022.</w:t>
            </w:r>
          </w:p>
        </w:tc>
      </w:tr>
      <w:tr w:rsidTr="00F12729">
        <w:tblPrEx>
          <w:tblW w:w="0" w:type="auto"/>
          <w:tblLook w:val="04A0"/>
        </w:tblPrEx>
        <w:tc>
          <w:tcPr>
            <w:tcW w:w="2972" w:type="dxa"/>
          </w:tcPr>
          <w:p w:rsidR="00F52A8B" w:rsidP="00F12729">
            <w:pPr>
              <w:rPr>
                <w:rFonts w:eastAsia="Times New Roman" w:asciiTheme="majorHAnsi" w:hAnsiTheme="majorHAnsi" w:cstheme="majorBidi"/>
                <w:lang w:eastAsia="en-GB"/>
              </w:rPr>
            </w:pPr>
            <w:r w:rsidRPr="72C41A2D">
              <w:rPr>
                <w:rFonts w:eastAsia="Times New Roman" w:asciiTheme="majorHAnsi" w:hAnsiTheme="majorHAnsi" w:cstheme="majorBidi"/>
                <w:lang w:eastAsia="en-GB"/>
              </w:rPr>
              <w:t>Develop a conservation plan for South Ribble Museum and Exhibition Centre</w:t>
            </w:r>
          </w:p>
        </w:tc>
        <w:tc>
          <w:tcPr>
            <w:tcW w:w="6044" w:type="dxa"/>
          </w:tcPr>
          <w:p w:rsidR="00F52A8B" w:rsidP="00F12729">
            <w:pPr>
              <w:rPr>
                <w:rFonts w:eastAsia="Times New Roman" w:asciiTheme="majorHAnsi" w:hAnsiTheme="majorHAnsi" w:cstheme="majorBidi"/>
                <w:lang w:eastAsia="en-GB"/>
              </w:rPr>
            </w:pPr>
            <w:r w:rsidRPr="72C41A2D">
              <w:rPr>
                <w:rFonts w:eastAsia="Times New Roman" w:asciiTheme="majorHAnsi" w:hAnsiTheme="majorHAnsi" w:cstheme="majorBidi"/>
                <w:lang w:eastAsia="en-GB"/>
              </w:rPr>
              <w:t>A c</w:t>
            </w:r>
            <w:r w:rsidRPr="72C41A2D">
              <w:rPr>
                <w:rFonts w:eastAsia="Times New Roman" w:asciiTheme="majorHAnsi" w:hAnsiTheme="majorHAnsi" w:cstheme="majorBidi"/>
                <w:lang w:eastAsia="en-GB"/>
              </w:rPr>
              <w:t>ompany has been appointed to support us producing this plan that will outline the condition of the building and a plan to ensure it is fit for purpose going forward. The results are due in early 2022.</w:t>
            </w:r>
          </w:p>
        </w:tc>
      </w:tr>
    </w:tbl>
    <w:p w:rsidR="00F52A8B" w:rsidRPr="00B06490" w:rsidP="00F52A8B">
      <w:pPr>
        <w:spacing w:after="0" w:line="240" w:lineRule="auto"/>
        <w:rPr>
          <w:rFonts w:eastAsia="Times New Roman" w:asciiTheme="majorHAnsi" w:hAnsiTheme="majorHAnsi" w:cstheme="majorHAnsi"/>
          <w:lang w:eastAsia="en-GB"/>
        </w:rPr>
      </w:pPr>
    </w:p>
    <w:p w:rsidR="00F52A8B" w:rsidP="00F52A8B">
      <w:pPr>
        <w:pStyle w:val="ListParagraph"/>
        <w:numPr>
          <w:ilvl w:val="0"/>
          <w:numId w:val="8"/>
        </w:numPr>
        <w:spacing w:after="0" w:line="240" w:lineRule="auto"/>
        <w:rPr>
          <w:rFonts w:eastAsia="Times New Roman" w:asciiTheme="majorHAnsi" w:hAnsiTheme="majorHAnsi" w:cstheme="majorBidi"/>
          <w:lang w:eastAsia="en-GB"/>
        </w:rPr>
      </w:pPr>
      <w:r w:rsidRPr="698CBF94">
        <w:rPr>
          <w:rFonts w:eastAsia="Times New Roman" w:asciiTheme="majorHAnsi" w:hAnsiTheme="majorHAnsi" w:cstheme="majorBidi"/>
          <w:lang w:eastAsia="en-GB"/>
        </w:rPr>
        <w:t>The team also monitors performance indicators to asse</w:t>
      </w:r>
      <w:r w:rsidRPr="698CBF94">
        <w:rPr>
          <w:rFonts w:eastAsia="Times New Roman" w:asciiTheme="majorHAnsi" w:hAnsiTheme="majorHAnsi" w:cstheme="majorBidi"/>
          <w:lang w:eastAsia="en-GB"/>
        </w:rPr>
        <w:t>ss service performance. The latest position is set out below for those indicators that are reported on a monthly or quarterly basis.</w:t>
      </w:r>
    </w:p>
    <w:p w:rsidR="00F52A8B" w:rsidP="00F52A8B">
      <w:pPr>
        <w:spacing w:after="0" w:line="240" w:lineRule="auto"/>
        <w:rPr>
          <w:rFonts w:eastAsia="Times New Roman" w:asciiTheme="majorHAnsi" w:hAnsiTheme="majorHAnsi" w:cstheme="majorHAnsi"/>
          <w:lang w:eastAsia="en-GB"/>
        </w:rPr>
      </w:pPr>
    </w:p>
    <w:tbl>
      <w:tblPr>
        <w:tblStyle w:val="TableGrid"/>
        <w:tblW w:w="0" w:type="auto"/>
        <w:tblLook w:val="04A0"/>
      </w:tblPr>
      <w:tblGrid>
        <w:gridCol w:w="3005"/>
        <w:gridCol w:w="3005"/>
        <w:gridCol w:w="3006"/>
      </w:tblGrid>
      <w:tr w:rsidTr="00F12729">
        <w:tblPrEx>
          <w:tblW w:w="0" w:type="auto"/>
          <w:tblLook w:val="04A0"/>
        </w:tblPrEx>
        <w:tc>
          <w:tcPr>
            <w:tcW w:w="3005" w:type="dxa"/>
          </w:tcPr>
          <w:p w:rsidR="00F52A8B" w:rsidRPr="00872EB0" w:rsidP="00F12729">
            <w:pPr>
              <w:rPr>
                <w:rFonts w:eastAsia="Times New Roman" w:asciiTheme="majorHAnsi" w:hAnsiTheme="majorHAnsi" w:cstheme="majorHAnsi"/>
                <w:b/>
                <w:bCs/>
                <w:lang w:eastAsia="en-GB"/>
              </w:rPr>
            </w:pPr>
            <w:r w:rsidRPr="00872EB0">
              <w:rPr>
                <w:rFonts w:eastAsia="Times New Roman" w:asciiTheme="majorHAnsi" w:hAnsiTheme="majorHAnsi" w:cstheme="majorHAnsi"/>
                <w:b/>
                <w:bCs/>
                <w:lang w:eastAsia="en-GB"/>
              </w:rPr>
              <w:t>Key indicator</w:t>
            </w:r>
          </w:p>
        </w:tc>
        <w:tc>
          <w:tcPr>
            <w:tcW w:w="3005" w:type="dxa"/>
          </w:tcPr>
          <w:p w:rsidR="00F52A8B" w:rsidRPr="00872EB0" w:rsidP="00F12729">
            <w:pPr>
              <w:rPr>
                <w:rFonts w:eastAsia="Times New Roman" w:asciiTheme="majorHAnsi" w:hAnsiTheme="majorHAnsi" w:cstheme="majorHAnsi"/>
                <w:b/>
                <w:bCs/>
                <w:lang w:eastAsia="en-GB"/>
              </w:rPr>
            </w:pPr>
            <w:r w:rsidRPr="00872EB0">
              <w:rPr>
                <w:rFonts w:eastAsia="Times New Roman" w:asciiTheme="majorHAnsi" w:hAnsiTheme="majorHAnsi" w:cstheme="majorHAnsi"/>
                <w:b/>
                <w:bCs/>
                <w:lang w:eastAsia="en-GB"/>
              </w:rPr>
              <w:t>Target</w:t>
            </w:r>
          </w:p>
        </w:tc>
        <w:tc>
          <w:tcPr>
            <w:tcW w:w="3006" w:type="dxa"/>
          </w:tcPr>
          <w:p w:rsidR="00F52A8B" w:rsidRPr="00872EB0" w:rsidP="00F12729">
            <w:pPr>
              <w:rPr>
                <w:rFonts w:eastAsia="Times New Roman" w:asciiTheme="majorHAnsi" w:hAnsiTheme="majorHAnsi" w:cstheme="majorHAnsi"/>
                <w:b/>
                <w:bCs/>
                <w:lang w:eastAsia="en-GB"/>
              </w:rPr>
            </w:pPr>
            <w:r w:rsidRPr="00872EB0">
              <w:rPr>
                <w:rFonts w:eastAsia="Times New Roman" w:asciiTheme="majorHAnsi" w:hAnsiTheme="majorHAnsi" w:cstheme="majorHAnsi"/>
                <w:b/>
                <w:bCs/>
                <w:lang w:eastAsia="en-GB"/>
              </w:rPr>
              <w:t>Latest performance</w:t>
            </w:r>
          </w:p>
        </w:tc>
      </w:tr>
      <w:tr w:rsidTr="00F12729">
        <w:tblPrEx>
          <w:tblW w:w="0" w:type="auto"/>
          <w:tblLook w:val="04A0"/>
        </w:tblPrEx>
        <w:tc>
          <w:tcPr>
            <w:tcW w:w="3005" w:type="dxa"/>
          </w:tcPr>
          <w:p w:rsidR="00F52A8B" w:rsidP="00F12729">
            <w:pPr>
              <w:rPr>
                <w:rFonts w:eastAsia="Times New Roman" w:asciiTheme="majorHAnsi" w:hAnsiTheme="majorHAnsi" w:cstheme="majorBidi"/>
                <w:lang w:eastAsia="en-GB"/>
              </w:rPr>
            </w:pPr>
            <w:r w:rsidRPr="72C41A2D">
              <w:rPr>
                <w:rFonts w:eastAsia="Times New Roman" w:asciiTheme="majorHAnsi" w:hAnsiTheme="majorHAnsi" w:cstheme="majorBidi"/>
                <w:lang w:eastAsia="en-GB"/>
              </w:rPr>
              <w:t>Open rates for emails sent to residents on mailing list</w:t>
            </w:r>
          </w:p>
        </w:tc>
        <w:tc>
          <w:tcPr>
            <w:tcW w:w="3005" w:type="dxa"/>
          </w:tcPr>
          <w:p w:rsidR="00F52A8B" w:rsidP="00F12729">
            <w:pPr>
              <w:spacing w:after="200" w:line="276" w:lineRule="auto"/>
              <w:rPr>
                <w:rFonts w:eastAsia="Times New Roman" w:asciiTheme="majorHAnsi" w:hAnsiTheme="majorHAnsi" w:cstheme="majorBidi"/>
                <w:lang w:eastAsia="en-GB"/>
              </w:rPr>
            </w:pPr>
            <w:r w:rsidRPr="72C41A2D">
              <w:rPr>
                <w:rFonts w:eastAsia="Times New Roman" w:asciiTheme="majorHAnsi" w:hAnsiTheme="majorHAnsi" w:cstheme="majorBidi"/>
                <w:lang w:eastAsia="en-GB"/>
              </w:rPr>
              <w:t>30% open rate</w:t>
            </w:r>
          </w:p>
        </w:tc>
        <w:tc>
          <w:tcPr>
            <w:tcW w:w="3006" w:type="dxa"/>
          </w:tcPr>
          <w:p w:rsidR="00F52A8B" w:rsidP="00F12729">
            <w:pPr>
              <w:rPr>
                <w:rFonts w:eastAsia="Times New Roman" w:asciiTheme="majorHAnsi" w:hAnsiTheme="majorHAnsi" w:cstheme="majorBidi"/>
                <w:lang w:eastAsia="en-GB"/>
              </w:rPr>
            </w:pPr>
            <w:r>
              <w:rPr>
                <w:rFonts w:eastAsia="Times New Roman" w:asciiTheme="majorHAnsi" w:hAnsiTheme="majorHAnsi" w:cstheme="majorBidi"/>
                <w:lang w:eastAsia="en-GB"/>
              </w:rPr>
              <w:t>Reporting is due to commence from quarter three as the system has been set up</w:t>
            </w:r>
            <w:r w:rsidRPr="72C41A2D">
              <w:rPr>
                <w:rFonts w:eastAsia="Times New Roman" w:asciiTheme="majorHAnsi" w:hAnsiTheme="majorHAnsi" w:cstheme="majorBidi"/>
                <w:lang w:eastAsia="en-GB"/>
              </w:rPr>
              <w:t>.</w:t>
            </w:r>
          </w:p>
        </w:tc>
      </w:tr>
      <w:tr w:rsidTr="00F12729">
        <w:tblPrEx>
          <w:tblW w:w="0" w:type="auto"/>
          <w:tblLook w:val="04A0"/>
        </w:tblPrEx>
        <w:tc>
          <w:tcPr>
            <w:tcW w:w="3005" w:type="dxa"/>
          </w:tcPr>
          <w:p w:rsidR="00F52A8B" w:rsidP="00F12729">
            <w:pPr>
              <w:rPr>
                <w:rFonts w:eastAsia="Times New Roman" w:asciiTheme="majorHAnsi" w:hAnsiTheme="majorHAnsi" w:cstheme="majorBidi"/>
                <w:lang w:eastAsia="en-GB"/>
              </w:rPr>
            </w:pPr>
            <w:r w:rsidRPr="72C41A2D">
              <w:rPr>
                <w:rFonts w:eastAsia="Times New Roman" w:asciiTheme="majorHAnsi" w:hAnsiTheme="majorHAnsi" w:cstheme="majorBidi"/>
                <w:lang w:eastAsia="en-GB"/>
              </w:rPr>
              <w:t>Social media engagements</w:t>
            </w:r>
          </w:p>
        </w:tc>
        <w:tc>
          <w:tcPr>
            <w:tcW w:w="3005" w:type="dxa"/>
          </w:tcPr>
          <w:p w:rsidR="00F52A8B" w:rsidP="00F12729">
            <w:pPr>
              <w:rPr>
                <w:rFonts w:eastAsia="Times New Roman" w:asciiTheme="majorHAnsi" w:hAnsiTheme="majorHAnsi" w:cstheme="majorBidi"/>
                <w:lang w:eastAsia="en-GB"/>
              </w:rPr>
            </w:pPr>
            <w:r w:rsidRPr="72C41A2D">
              <w:rPr>
                <w:rFonts w:eastAsia="Times New Roman" w:asciiTheme="majorHAnsi" w:hAnsiTheme="majorHAnsi" w:cstheme="majorBidi"/>
                <w:lang w:eastAsia="en-GB"/>
              </w:rPr>
              <w:t>Baseline for year 1</w:t>
            </w:r>
          </w:p>
        </w:tc>
        <w:tc>
          <w:tcPr>
            <w:tcW w:w="3006" w:type="dxa"/>
          </w:tcPr>
          <w:p w:rsidR="00F52A8B" w:rsidP="00F12729">
            <w:pPr>
              <w:rPr>
                <w:rFonts w:eastAsia="Times New Roman" w:asciiTheme="majorHAnsi" w:hAnsiTheme="majorHAnsi" w:cstheme="majorBidi"/>
                <w:lang w:eastAsia="en-GB"/>
              </w:rPr>
            </w:pPr>
            <w:r w:rsidRPr="72C41A2D">
              <w:rPr>
                <w:rFonts w:eastAsia="Times New Roman" w:asciiTheme="majorHAnsi" w:hAnsiTheme="majorHAnsi" w:cstheme="majorBidi"/>
                <w:lang w:eastAsia="en-GB"/>
              </w:rPr>
              <w:t>31,713 engagements</w:t>
            </w:r>
            <w:r>
              <w:rPr>
                <w:rFonts w:eastAsia="Times New Roman" w:asciiTheme="majorHAnsi" w:hAnsiTheme="majorHAnsi" w:cstheme="majorBidi"/>
                <w:lang w:eastAsia="en-GB"/>
              </w:rPr>
              <w:t xml:space="preserve"> in November 2021</w:t>
            </w:r>
          </w:p>
        </w:tc>
      </w:tr>
    </w:tbl>
    <w:p w:rsidR="00F52A8B" w:rsidP="00F52A8B">
      <w:pPr>
        <w:spacing w:after="0" w:line="240" w:lineRule="auto"/>
        <w:rPr>
          <w:rFonts w:eastAsia="Times New Roman" w:asciiTheme="majorHAnsi" w:hAnsiTheme="majorHAnsi" w:cstheme="majorHAnsi"/>
          <w:lang w:eastAsia="en-GB"/>
        </w:rPr>
      </w:pPr>
    </w:p>
    <w:p w:rsidR="00F52A8B" w:rsidRPr="00345832" w:rsidP="00F52A8B">
      <w:pPr>
        <w:spacing w:after="0" w:line="240" w:lineRule="auto"/>
        <w:rPr>
          <w:rFonts w:eastAsia="Times New Roman" w:asciiTheme="majorHAnsi" w:hAnsiTheme="majorHAnsi" w:cstheme="majorHAnsi"/>
          <w:b/>
          <w:bCs/>
          <w:lang w:eastAsia="en-GB"/>
        </w:rPr>
      </w:pPr>
      <w:r>
        <w:rPr>
          <w:rFonts w:eastAsia="Times New Roman" w:asciiTheme="majorHAnsi" w:hAnsiTheme="majorHAnsi" w:cstheme="majorHAnsi"/>
          <w:b/>
          <w:bCs/>
          <w:lang w:eastAsia="en-GB"/>
        </w:rPr>
        <w:t xml:space="preserve">Governance </w:t>
      </w:r>
    </w:p>
    <w:p w:rsidR="00F52A8B" w:rsidP="00F52A8B">
      <w:pPr>
        <w:pStyle w:val="ListParagraph"/>
        <w:spacing w:after="0" w:line="240" w:lineRule="auto"/>
        <w:ind w:left="360"/>
        <w:rPr>
          <w:rFonts w:eastAsia="Times New Roman" w:asciiTheme="majorHAnsi" w:hAnsiTheme="majorHAnsi" w:cstheme="majorHAnsi"/>
          <w:lang w:eastAsia="en-GB"/>
        </w:rPr>
      </w:pPr>
    </w:p>
    <w:p w:rsidR="00F52A8B" w:rsidP="00F52A8B">
      <w:pPr>
        <w:pStyle w:val="ListParagraph"/>
        <w:numPr>
          <w:ilvl w:val="0"/>
          <w:numId w:val="8"/>
        </w:numPr>
        <w:spacing w:after="0" w:line="240" w:lineRule="auto"/>
        <w:rPr>
          <w:rFonts w:eastAsia="Times New Roman" w:asciiTheme="majorHAnsi" w:hAnsiTheme="majorHAnsi" w:cstheme="majorBidi"/>
          <w:lang w:eastAsia="en-GB"/>
        </w:rPr>
      </w:pPr>
      <w:r w:rsidRPr="698CBF94">
        <w:rPr>
          <w:rFonts w:eastAsia="Times New Roman" w:asciiTheme="majorHAnsi" w:hAnsiTheme="majorHAnsi" w:cstheme="majorBidi"/>
          <w:lang w:eastAsia="en-GB"/>
        </w:rPr>
        <w:t xml:space="preserve">The Governance directorate delivers democratic services and member </w:t>
      </w:r>
      <w:r w:rsidRPr="698CBF94">
        <w:rPr>
          <w:rFonts w:eastAsia="Times New Roman" w:asciiTheme="majorHAnsi" w:hAnsiTheme="majorHAnsi" w:cstheme="majorBidi"/>
          <w:lang w:eastAsia="en-GB"/>
        </w:rPr>
        <w:t>support (including elections and the Mayoralty); legal and procurement; and, audit and risk.</w:t>
      </w:r>
    </w:p>
    <w:p w:rsidR="00F52A8B" w:rsidP="00F52A8B">
      <w:pPr>
        <w:pStyle w:val="ListParagraph"/>
        <w:spacing w:after="0" w:line="240" w:lineRule="auto"/>
        <w:ind w:left="360"/>
        <w:rPr>
          <w:rFonts w:eastAsia="Times New Roman" w:asciiTheme="majorHAnsi" w:hAnsiTheme="majorHAnsi" w:cstheme="majorHAnsi"/>
          <w:lang w:eastAsia="en-GB"/>
        </w:rPr>
      </w:pPr>
    </w:p>
    <w:p w:rsidR="00F52A8B" w:rsidP="00F52A8B">
      <w:pPr>
        <w:pStyle w:val="ListParagraph"/>
        <w:numPr>
          <w:ilvl w:val="0"/>
          <w:numId w:val="8"/>
        </w:numPr>
        <w:spacing w:after="0" w:line="240" w:lineRule="auto"/>
        <w:rPr>
          <w:rFonts w:eastAsia="Times New Roman" w:asciiTheme="majorHAnsi" w:hAnsiTheme="majorHAnsi" w:cstheme="majorBidi"/>
          <w:lang w:eastAsia="en-GB"/>
        </w:rPr>
      </w:pPr>
      <w:r w:rsidRPr="698CBF94">
        <w:rPr>
          <w:rFonts w:eastAsia="Times New Roman" w:asciiTheme="majorHAnsi" w:hAnsiTheme="majorHAnsi" w:cstheme="majorBidi"/>
          <w:lang w:eastAsia="en-GB"/>
        </w:rPr>
        <w:t>The directorate has in place a business plan to set out the key actions it will deliver of the year. The table below provides an update on those key actions.</w:t>
      </w:r>
    </w:p>
    <w:p w:rsidR="00F52A8B" w:rsidP="00F52A8B">
      <w:pPr>
        <w:spacing w:after="0" w:line="240" w:lineRule="auto"/>
        <w:rPr>
          <w:rFonts w:eastAsia="Times New Roman" w:asciiTheme="majorHAnsi" w:hAnsiTheme="majorHAnsi" w:cstheme="majorHAnsi"/>
          <w:lang w:eastAsia="en-GB"/>
        </w:rPr>
      </w:pPr>
    </w:p>
    <w:tbl>
      <w:tblPr>
        <w:tblStyle w:val="TableGrid"/>
        <w:tblW w:w="0" w:type="auto"/>
        <w:tblLook w:val="04A0"/>
      </w:tblPr>
      <w:tblGrid>
        <w:gridCol w:w="2972"/>
        <w:gridCol w:w="6044"/>
      </w:tblGrid>
      <w:tr w:rsidTr="00F12729">
        <w:tblPrEx>
          <w:tblW w:w="0" w:type="auto"/>
          <w:tblLook w:val="04A0"/>
        </w:tblPrEx>
        <w:tc>
          <w:tcPr>
            <w:tcW w:w="2972" w:type="dxa"/>
          </w:tcPr>
          <w:p w:rsidR="00F52A8B" w:rsidRPr="00B06490" w:rsidP="00F12729">
            <w:pPr>
              <w:rPr>
                <w:rFonts w:eastAsia="Times New Roman" w:asciiTheme="majorHAnsi" w:hAnsiTheme="majorHAnsi" w:cstheme="majorHAnsi"/>
                <w:b/>
                <w:bCs/>
                <w:lang w:eastAsia="en-GB"/>
              </w:rPr>
            </w:pPr>
            <w:r>
              <w:rPr>
                <w:rFonts w:eastAsia="Times New Roman" w:asciiTheme="majorHAnsi" w:hAnsiTheme="majorHAnsi" w:cstheme="majorHAnsi"/>
                <w:b/>
                <w:bCs/>
                <w:lang w:eastAsia="en-GB"/>
              </w:rPr>
              <w:t>Key actions</w:t>
            </w:r>
          </w:p>
        </w:tc>
        <w:tc>
          <w:tcPr>
            <w:tcW w:w="6044" w:type="dxa"/>
          </w:tcPr>
          <w:p w:rsidR="00F52A8B" w:rsidRPr="00B06490" w:rsidP="00F12729">
            <w:pPr>
              <w:rPr>
                <w:rFonts w:eastAsia="Times New Roman" w:asciiTheme="majorHAnsi" w:hAnsiTheme="majorHAnsi" w:cstheme="majorHAnsi"/>
                <w:b/>
                <w:bCs/>
                <w:lang w:eastAsia="en-GB"/>
              </w:rPr>
            </w:pPr>
            <w:r w:rsidRPr="00B06490">
              <w:rPr>
                <w:rFonts w:eastAsia="Times New Roman" w:asciiTheme="majorHAnsi" w:hAnsiTheme="majorHAnsi" w:cstheme="majorHAnsi"/>
                <w:b/>
                <w:bCs/>
                <w:lang w:eastAsia="en-GB"/>
              </w:rPr>
              <w:t>Update</w:t>
            </w:r>
          </w:p>
        </w:tc>
      </w:tr>
      <w:tr w:rsidTr="00F12729">
        <w:tblPrEx>
          <w:tblW w:w="0" w:type="auto"/>
          <w:tblLook w:val="04A0"/>
        </w:tblPrEx>
        <w:tc>
          <w:tcPr>
            <w:tcW w:w="2972" w:type="dxa"/>
          </w:tcPr>
          <w:p w:rsidR="00F52A8B" w:rsidP="00F12729">
            <w:pPr>
              <w:rPr>
                <w:rFonts w:eastAsia="Times New Roman" w:asciiTheme="majorHAnsi" w:hAnsiTheme="majorHAnsi" w:cstheme="majorBidi"/>
                <w:lang w:eastAsia="en-GB"/>
              </w:rPr>
            </w:pPr>
            <w:r w:rsidRPr="234B4FE2">
              <w:rPr>
                <w:rFonts w:eastAsia="Times New Roman" w:asciiTheme="majorHAnsi" w:hAnsiTheme="majorHAnsi" w:cstheme="majorBidi"/>
                <w:lang w:eastAsia="en-GB"/>
              </w:rPr>
              <w:t xml:space="preserve">Member </w:t>
            </w:r>
            <w:r w:rsidRPr="17DCCEA9">
              <w:rPr>
                <w:rFonts w:eastAsia="Times New Roman" w:asciiTheme="majorHAnsi" w:hAnsiTheme="majorHAnsi" w:cstheme="majorBidi"/>
                <w:lang w:eastAsia="en-GB"/>
              </w:rPr>
              <w:t>Induction</w:t>
            </w:r>
          </w:p>
        </w:tc>
        <w:tc>
          <w:tcPr>
            <w:tcW w:w="6044" w:type="dxa"/>
          </w:tcPr>
          <w:p w:rsidR="00F52A8B" w:rsidP="00F12729">
            <w:pPr>
              <w:rPr>
                <w:rFonts w:eastAsia="Times New Roman" w:asciiTheme="majorHAnsi" w:hAnsiTheme="majorHAnsi" w:cstheme="majorBidi"/>
                <w:lang w:eastAsia="en-GB"/>
              </w:rPr>
            </w:pPr>
            <w:r w:rsidRPr="257EEEF9">
              <w:rPr>
                <w:rFonts w:eastAsia="Times New Roman" w:asciiTheme="majorHAnsi" w:hAnsiTheme="majorHAnsi" w:cstheme="majorBidi"/>
                <w:lang w:eastAsia="en-GB"/>
              </w:rPr>
              <w:t xml:space="preserve">Complete - </w:t>
            </w:r>
            <w:r w:rsidRPr="29AC1916">
              <w:rPr>
                <w:rFonts w:eastAsia="Times New Roman" w:asciiTheme="majorHAnsi" w:hAnsiTheme="majorHAnsi" w:cstheme="majorBidi"/>
                <w:lang w:eastAsia="en-GB"/>
              </w:rPr>
              <w:t>Member induction completed as planned. Positive feedback. Formal evaluation to take place later in the year to learn for future inductions.</w:t>
            </w:r>
          </w:p>
        </w:tc>
      </w:tr>
      <w:tr w:rsidTr="00F12729">
        <w:tblPrEx>
          <w:tblW w:w="0" w:type="auto"/>
          <w:tblLook w:val="04A0"/>
        </w:tblPrEx>
        <w:tc>
          <w:tcPr>
            <w:tcW w:w="2972" w:type="dxa"/>
          </w:tcPr>
          <w:p w:rsidR="00F52A8B" w:rsidP="00F12729">
            <w:pPr>
              <w:rPr>
                <w:rFonts w:eastAsia="Times New Roman" w:asciiTheme="majorHAnsi" w:hAnsiTheme="majorHAnsi" w:cstheme="majorBidi"/>
                <w:lang w:eastAsia="en-GB"/>
              </w:rPr>
            </w:pPr>
            <w:r w:rsidRPr="27A544B0">
              <w:rPr>
                <w:rFonts w:eastAsia="Times New Roman" w:asciiTheme="majorHAnsi" w:hAnsiTheme="majorHAnsi" w:cstheme="majorBidi"/>
                <w:lang w:eastAsia="en-GB"/>
              </w:rPr>
              <w:t>Creation of parish/town council charter</w:t>
            </w:r>
          </w:p>
        </w:tc>
        <w:tc>
          <w:tcPr>
            <w:tcW w:w="6044" w:type="dxa"/>
          </w:tcPr>
          <w:p w:rsidR="00F52A8B" w:rsidP="00F12729">
            <w:pPr>
              <w:rPr>
                <w:rFonts w:eastAsia="Times New Roman" w:asciiTheme="majorHAnsi" w:hAnsiTheme="majorHAnsi" w:cstheme="majorBidi"/>
                <w:lang w:eastAsia="en-GB"/>
              </w:rPr>
            </w:pPr>
            <w:r w:rsidRPr="27B5B639">
              <w:rPr>
                <w:rFonts w:eastAsia="Times New Roman" w:asciiTheme="majorHAnsi" w:hAnsiTheme="majorHAnsi" w:cstheme="majorBidi"/>
                <w:lang w:eastAsia="en-GB"/>
              </w:rPr>
              <w:t>Discussed at the last Cabin</w:t>
            </w:r>
            <w:r w:rsidRPr="27B5B639">
              <w:rPr>
                <w:rFonts w:eastAsia="Times New Roman" w:asciiTheme="majorHAnsi" w:hAnsiTheme="majorHAnsi" w:cstheme="majorBidi"/>
                <w:lang w:eastAsia="en-GB"/>
              </w:rPr>
              <w:t>et and Parish/Town Council Liaison Meeting on 5 November 2021. Clerks to meet next to progress. To be completed by March 2022</w:t>
            </w:r>
          </w:p>
        </w:tc>
      </w:tr>
      <w:tr w:rsidTr="00F12729">
        <w:tblPrEx>
          <w:tblW w:w="0" w:type="auto"/>
          <w:tblLook w:val="04A0"/>
        </w:tblPrEx>
        <w:tc>
          <w:tcPr>
            <w:tcW w:w="2972" w:type="dxa"/>
          </w:tcPr>
          <w:p w:rsidR="00F52A8B" w:rsidP="00F12729">
            <w:pPr>
              <w:rPr>
                <w:rFonts w:eastAsia="Times New Roman" w:asciiTheme="majorHAnsi" w:hAnsiTheme="majorHAnsi" w:cstheme="majorBidi"/>
                <w:lang w:eastAsia="en-GB"/>
              </w:rPr>
            </w:pPr>
            <w:r w:rsidRPr="4F8EBE90">
              <w:rPr>
                <w:rFonts w:eastAsia="Times New Roman" w:asciiTheme="majorHAnsi" w:hAnsiTheme="majorHAnsi" w:cstheme="majorBidi"/>
                <w:lang w:eastAsia="en-GB"/>
              </w:rPr>
              <w:t>Member Development and applying for the Charter</w:t>
            </w:r>
          </w:p>
        </w:tc>
        <w:tc>
          <w:tcPr>
            <w:tcW w:w="6044" w:type="dxa"/>
          </w:tcPr>
          <w:p w:rsidR="00F52A8B" w:rsidP="00F12729">
            <w:pPr>
              <w:rPr>
                <w:rFonts w:eastAsia="Times New Roman" w:asciiTheme="majorHAnsi" w:hAnsiTheme="majorHAnsi" w:cstheme="majorBidi"/>
                <w:lang w:eastAsia="en-GB"/>
              </w:rPr>
            </w:pPr>
            <w:r w:rsidRPr="46436AE5">
              <w:rPr>
                <w:rFonts w:eastAsia="Times New Roman" w:asciiTheme="majorHAnsi" w:hAnsiTheme="majorHAnsi" w:cstheme="majorBidi"/>
                <w:lang w:eastAsia="en-GB"/>
              </w:rPr>
              <w:t xml:space="preserve">Almost 100% of PDPs undertaken informing a training and development plan, Member Development Steering Group and Member Support Working Group taking overview and providing positive feedback on the progress being made. </w:t>
            </w:r>
            <w:r w:rsidRPr="46436AE5">
              <w:rPr>
                <w:rFonts w:eastAsia="Times New Roman" w:asciiTheme="majorHAnsi" w:hAnsiTheme="majorHAnsi" w:cstheme="majorBidi"/>
                <w:lang w:eastAsia="en-GB"/>
              </w:rPr>
              <w:t>New PDP process developed and currently</w:t>
            </w:r>
            <w:r w:rsidRPr="46436AE5">
              <w:rPr>
                <w:rFonts w:eastAsia="Times New Roman" w:asciiTheme="majorHAnsi" w:hAnsiTheme="majorHAnsi" w:cstheme="majorBidi"/>
                <w:lang w:eastAsia="en-GB"/>
              </w:rPr>
              <w:t xml:space="preserve"> being implemented at</w:t>
            </w:r>
          </w:p>
        </w:tc>
      </w:tr>
      <w:tr w:rsidTr="00F12729">
        <w:tblPrEx>
          <w:tblW w:w="0" w:type="auto"/>
          <w:tblLook w:val="04A0"/>
        </w:tblPrEx>
        <w:tc>
          <w:tcPr>
            <w:tcW w:w="2972" w:type="dxa"/>
          </w:tcPr>
          <w:p w:rsidR="00F52A8B" w:rsidP="00F12729">
            <w:pPr>
              <w:rPr>
                <w:rFonts w:ascii="Arial" w:eastAsia="Arial" w:hAnsi="Arial" w:cs="Arial"/>
                <w:lang w:val="en-US"/>
              </w:rPr>
            </w:pPr>
            <w:r w:rsidRPr="5A554F15">
              <w:rPr>
                <w:rFonts w:ascii="Arial" w:eastAsia="Arial" w:hAnsi="Arial" w:cs="Arial"/>
                <w:lang w:val="en-US"/>
              </w:rPr>
              <w:t>Implement Social Value in Procurement</w:t>
            </w:r>
          </w:p>
        </w:tc>
        <w:tc>
          <w:tcPr>
            <w:tcW w:w="6044" w:type="dxa"/>
          </w:tcPr>
          <w:p w:rsidR="00F52A8B" w:rsidP="00F12729">
            <w:pPr>
              <w:rPr>
                <w:rFonts w:eastAsia="Times New Roman" w:asciiTheme="majorHAnsi" w:hAnsiTheme="majorHAnsi" w:cstheme="majorBidi"/>
                <w:lang w:eastAsia="en-GB"/>
              </w:rPr>
            </w:pPr>
            <w:r w:rsidRPr="044AC760">
              <w:rPr>
                <w:rFonts w:eastAsia="Times New Roman" w:asciiTheme="majorHAnsi" w:hAnsiTheme="majorHAnsi" w:cstheme="majorBidi"/>
                <w:lang w:eastAsia="en-GB"/>
              </w:rPr>
              <w:t>Complete – policies adopted at council – contract entered with Social Value Portal – Land at West Paddock will be one of the first big schemes covered by it</w:t>
            </w:r>
          </w:p>
        </w:tc>
      </w:tr>
      <w:tr w:rsidTr="00F12729">
        <w:tblPrEx>
          <w:tblW w:w="0" w:type="auto"/>
          <w:tblLook w:val="04A0"/>
        </w:tblPrEx>
        <w:tc>
          <w:tcPr>
            <w:tcW w:w="2972" w:type="dxa"/>
          </w:tcPr>
          <w:p w:rsidR="00F52A8B" w:rsidP="00F12729">
            <w:pPr>
              <w:rPr>
                <w:rFonts w:eastAsia="Times New Roman" w:asciiTheme="majorHAnsi" w:hAnsiTheme="majorHAnsi" w:cstheme="majorBidi"/>
                <w:lang w:eastAsia="en-GB"/>
              </w:rPr>
            </w:pPr>
            <w:r w:rsidRPr="114DC3E7">
              <w:rPr>
                <w:rFonts w:eastAsia="Times New Roman" w:asciiTheme="majorHAnsi" w:hAnsiTheme="majorHAnsi" w:cstheme="majorBidi"/>
                <w:lang w:eastAsia="en-GB"/>
              </w:rPr>
              <w:t>Support the establishment of Wholly O</w:t>
            </w:r>
            <w:r w:rsidRPr="114DC3E7">
              <w:rPr>
                <w:rFonts w:eastAsia="Times New Roman" w:asciiTheme="majorHAnsi" w:hAnsiTheme="majorHAnsi" w:cstheme="majorBidi"/>
                <w:lang w:eastAsia="en-GB"/>
              </w:rPr>
              <w:t>wned Leisure Company</w:t>
            </w:r>
          </w:p>
        </w:tc>
        <w:tc>
          <w:tcPr>
            <w:tcW w:w="6044" w:type="dxa"/>
          </w:tcPr>
          <w:p w:rsidR="00F52A8B" w:rsidP="00F12729">
            <w:pPr>
              <w:rPr>
                <w:rFonts w:eastAsia="Times New Roman" w:asciiTheme="majorHAnsi" w:hAnsiTheme="majorHAnsi" w:cstheme="majorBidi"/>
                <w:lang w:eastAsia="en-GB"/>
              </w:rPr>
            </w:pPr>
            <w:r w:rsidRPr="114DC3E7">
              <w:rPr>
                <w:rFonts w:eastAsia="Times New Roman" w:asciiTheme="majorHAnsi" w:hAnsiTheme="majorHAnsi" w:cstheme="majorBidi"/>
                <w:lang w:eastAsia="en-GB"/>
              </w:rPr>
              <w:t xml:space="preserve">Complete – </w:t>
            </w:r>
            <w:r>
              <w:rPr>
                <w:rFonts w:eastAsia="Times New Roman" w:asciiTheme="majorHAnsi" w:hAnsiTheme="majorHAnsi" w:cstheme="majorBidi"/>
                <w:lang w:eastAsia="en-GB"/>
              </w:rPr>
              <w:t xml:space="preserve"> the South Ribble Leisure company has been</w:t>
            </w:r>
            <w:r w:rsidRPr="114DC3E7">
              <w:rPr>
                <w:rFonts w:eastAsia="Times New Roman" w:asciiTheme="majorHAnsi" w:hAnsiTheme="majorHAnsi" w:cstheme="majorBidi"/>
                <w:lang w:eastAsia="en-GB"/>
              </w:rPr>
              <w:t xml:space="preserve"> established, management agreement and leases completed</w:t>
            </w:r>
          </w:p>
        </w:tc>
      </w:tr>
      <w:tr w:rsidTr="00F12729">
        <w:tblPrEx>
          <w:tblW w:w="0" w:type="auto"/>
          <w:tblLook w:val="04A0"/>
        </w:tblPrEx>
        <w:tc>
          <w:tcPr>
            <w:tcW w:w="2972" w:type="dxa"/>
          </w:tcPr>
          <w:p w:rsidR="00F52A8B" w:rsidP="00F12729">
            <w:pPr>
              <w:rPr>
                <w:rFonts w:eastAsia="Times New Roman" w:asciiTheme="majorHAnsi" w:hAnsiTheme="majorHAnsi" w:cstheme="majorBidi"/>
                <w:lang w:eastAsia="en-GB"/>
              </w:rPr>
            </w:pPr>
            <w:r w:rsidRPr="114DC3E7">
              <w:rPr>
                <w:rFonts w:eastAsia="Times New Roman" w:asciiTheme="majorHAnsi" w:hAnsiTheme="majorHAnsi" w:cstheme="majorBidi"/>
                <w:lang w:eastAsia="en-GB"/>
              </w:rPr>
              <w:t>Review and implementation of Case Management Solution for Legal Services</w:t>
            </w:r>
          </w:p>
        </w:tc>
        <w:tc>
          <w:tcPr>
            <w:tcW w:w="6044" w:type="dxa"/>
          </w:tcPr>
          <w:p w:rsidR="00F52A8B" w:rsidP="00F12729">
            <w:pPr>
              <w:rPr>
                <w:rFonts w:eastAsia="Times New Roman" w:asciiTheme="majorHAnsi" w:hAnsiTheme="majorHAnsi" w:cstheme="majorBidi"/>
                <w:lang w:eastAsia="en-GB"/>
              </w:rPr>
            </w:pPr>
            <w:r>
              <w:rPr>
                <w:rFonts w:eastAsia="Times New Roman" w:asciiTheme="majorHAnsi" w:hAnsiTheme="majorHAnsi" w:cstheme="majorBidi"/>
                <w:lang w:eastAsia="en-GB"/>
              </w:rPr>
              <w:t>The preferred</w:t>
            </w:r>
            <w:r w:rsidRPr="114DC3E7">
              <w:rPr>
                <w:rFonts w:eastAsia="Times New Roman" w:asciiTheme="majorHAnsi" w:hAnsiTheme="majorHAnsi" w:cstheme="majorBidi"/>
                <w:lang w:eastAsia="en-GB"/>
              </w:rPr>
              <w:t xml:space="preserve"> system </w:t>
            </w:r>
            <w:r>
              <w:rPr>
                <w:rFonts w:eastAsia="Times New Roman" w:asciiTheme="majorHAnsi" w:hAnsiTheme="majorHAnsi" w:cstheme="majorBidi"/>
                <w:lang w:eastAsia="en-GB"/>
              </w:rPr>
              <w:t xml:space="preserve">has been </w:t>
            </w:r>
            <w:r w:rsidRPr="114DC3E7">
              <w:rPr>
                <w:rFonts w:eastAsia="Times New Roman" w:asciiTheme="majorHAnsi" w:hAnsiTheme="majorHAnsi" w:cstheme="majorBidi"/>
                <w:lang w:eastAsia="en-GB"/>
              </w:rPr>
              <w:t xml:space="preserve">identified. Authority </w:t>
            </w:r>
            <w:r w:rsidRPr="114DC3E7">
              <w:rPr>
                <w:rFonts w:eastAsia="Times New Roman" w:asciiTheme="majorHAnsi" w:hAnsiTheme="majorHAnsi" w:cstheme="majorBidi"/>
                <w:lang w:eastAsia="en-GB"/>
              </w:rPr>
              <w:t>being sought from Cabinet to procure with IT to implement in the new year.</w:t>
            </w:r>
          </w:p>
        </w:tc>
      </w:tr>
      <w:tr w:rsidTr="00F12729">
        <w:tblPrEx>
          <w:tblW w:w="0" w:type="auto"/>
          <w:tblLook w:val="04A0"/>
        </w:tblPrEx>
        <w:tc>
          <w:tcPr>
            <w:tcW w:w="2972" w:type="dxa"/>
          </w:tcPr>
          <w:p w:rsidR="00F52A8B" w:rsidP="00F12729">
            <w:pPr>
              <w:rPr>
                <w:rFonts w:eastAsia="Times New Roman" w:asciiTheme="majorHAnsi" w:hAnsiTheme="majorHAnsi" w:cstheme="majorBidi"/>
                <w:lang w:eastAsia="en-GB"/>
              </w:rPr>
            </w:pPr>
            <w:r w:rsidRPr="114DC3E7">
              <w:rPr>
                <w:rFonts w:eastAsia="Times New Roman" w:asciiTheme="majorHAnsi" w:hAnsiTheme="majorHAnsi" w:cstheme="majorBidi"/>
                <w:lang w:eastAsia="en-GB"/>
              </w:rPr>
              <w:t>To utili</w:t>
            </w:r>
            <w:r>
              <w:rPr>
                <w:rFonts w:eastAsia="Times New Roman" w:asciiTheme="majorHAnsi" w:hAnsiTheme="majorHAnsi" w:cstheme="majorBidi"/>
                <w:lang w:eastAsia="en-GB"/>
              </w:rPr>
              <w:t>s</w:t>
            </w:r>
            <w:r w:rsidRPr="114DC3E7">
              <w:rPr>
                <w:rFonts w:eastAsia="Times New Roman" w:asciiTheme="majorHAnsi" w:hAnsiTheme="majorHAnsi" w:cstheme="majorBidi"/>
                <w:lang w:eastAsia="en-GB"/>
              </w:rPr>
              <w:t>e the GRACE system for the monitoring and reporting of agreed management actions.</w:t>
            </w:r>
          </w:p>
        </w:tc>
        <w:tc>
          <w:tcPr>
            <w:tcW w:w="6044" w:type="dxa"/>
          </w:tcPr>
          <w:p w:rsidR="00F52A8B" w:rsidP="00F12729">
            <w:pPr>
              <w:rPr>
                <w:rFonts w:eastAsia="Times New Roman" w:asciiTheme="majorHAnsi" w:hAnsiTheme="majorHAnsi" w:cstheme="majorBidi"/>
                <w:lang w:eastAsia="en-GB"/>
              </w:rPr>
            </w:pPr>
            <w:r w:rsidRPr="114DC3E7">
              <w:rPr>
                <w:rFonts w:eastAsia="Times New Roman" w:asciiTheme="majorHAnsi" w:hAnsiTheme="majorHAnsi" w:cstheme="majorBidi"/>
                <w:lang w:eastAsia="en-GB"/>
              </w:rPr>
              <w:t>Complete – monthly reporting to Directors from the system</w:t>
            </w:r>
          </w:p>
        </w:tc>
      </w:tr>
      <w:tr w:rsidTr="00F12729">
        <w:tblPrEx>
          <w:tblW w:w="0" w:type="auto"/>
          <w:tblLook w:val="04A0"/>
        </w:tblPrEx>
        <w:tc>
          <w:tcPr>
            <w:tcW w:w="2972" w:type="dxa"/>
          </w:tcPr>
          <w:p w:rsidR="00F52A8B" w:rsidP="00F12729">
            <w:pPr>
              <w:rPr>
                <w:rFonts w:eastAsia="Times New Roman" w:asciiTheme="majorHAnsi" w:hAnsiTheme="majorHAnsi" w:cstheme="majorBidi"/>
                <w:lang w:eastAsia="en-GB"/>
              </w:rPr>
            </w:pPr>
            <w:r w:rsidRPr="114DC3E7">
              <w:rPr>
                <w:rFonts w:eastAsia="Times New Roman" w:asciiTheme="majorHAnsi" w:hAnsiTheme="majorHAnsi" w:cstheme="majorBidi"/>
                <w:lang w:eastAsia="en-GB"/>
              </w:rPr>
              <w:t xml:space="preserve">Seeking </w:t>
            </w:r>
            <w:r w:rsidRPr="114DC3E7">
              <w:rPr>
                <w:rFonts w:eastAsia="Times New Roman" w:asciiTheme="majorHAnsi" w:hAnsiTheme="majorHAnsi" w:cstheme="majorBidi"/>
                <w:lang w:eastAsia="en-GB"/>
              </w:rPr>
              <w:t>re-accreditation for ISO 9001 quality management system</w:t>
            </w:r>
          </w:p>
        </w:tc>
        <w:tc>
          <w:tcPr>
            <w:tcW w:w="6044" w:type="dxa"/>
          </w:tcPr>
          <w:p w:rsidR="00F52A8B" w:rsidP="00F12729">
            <w:pPr>
              <w:rPr>
                <w:rFonts w:eastAsia="Times New Roman" w:asciiTheme="majorHAnsi" w:hAnsiTheme="majorHAnsi" w:cstheme="majorBidi"/>
                <w:lang w:eastAsia="en-GB"/>
              </w:rPr>
            </w:pPr>
            <w:r w:rsidRPr="114DC3E7">
              <w:rPr>
                <w:rFonts w:eastAsia="Times New Roman" w:asciiTheme="majorHAnsi" w:hAnsiTheme="majorHAnsi" w:cstheme="majorBidi"/>
                <w:lang w:eastAsia="en-GB"/>
              </w:rPr>
              <w:t xml:space="preserve">Complete - Re-accreditation </w:t>
            </w:r>
            <w:r>
              <w:rPr>
                <w:rFonts w:eastAsia="Times New Roman" w:asciiTheme="majorHAnsi" w:hAnsiTheme="majorHAnsi" w:cstheme="majorBidi"/>
                <w:lang w:eastAsia="en-GB"/>
              </w:rPr>
              <w:t xml:space="preserve">of the audit team was </w:t>
            </w:r>
            <w:r w:rsidRPr="114DC3E7">
              <w:rPr>
                <w:rFonts w:eastAsia="Times New Roman" w:asciiTheme="majorHAnsi" w:hAnsiTheme="majorHAnsi" w:cstheme="majorBidi"/>
                <w:lang w:eastAsia="en-GB"/>
              </w:rPr>
              <w:t>achieved</w:t>
            </w:r>
            <w:r>
              <w:rPr>
                <w:rFonts w:eastAsia="Times New Roman" w:asciiTheme="majorHAnsi" w:hAnsiTheme="majorHAnsi" w:cstheme="majorBidi"/>
                <w:lang w:eastAsia="en-GB"/>
              </w:rPr>
              <w:t xml:space="preserve"> in December 2021</w:t>
            </w:r>
            <w:r w:rsidRPr="114DC3E7">
              <w:rPr>
                <w:rFonts w:eastAsia="Times New Roman" w:asciiTheme="majorHAnsi" w:hAnsiTheme="majorHAnsi" w:cstheme="majorBidi"/>
                <w:lang w:eastAsia="en-GB"/>
              </w:rPr>
              <w:t xml:space="preserve"> </w:t>
            </w:r>
          </w:p>
        </w:tc>
      </w:tr>
      <w:tr w:rsidTr="00F12729">
        <w:tblPrEx>
          <w:tblW w:w="0" w:type="auto"/>
          <w:tblLook w:val="04A0"/>
        </w:tblPrEx>
        <w:tc>
          <w:tcPr>
            <w:tcW w:w="2972" w:type="dxa"/>
          </w:tcPr>
          <w:p w:rsidR="00F52A8B" w:rsidP="00F12729">
            <w:pPr>
              <w:rPr>
                <w:rFonts w:eastAsia="Times New Roman" w:asciiTheme="majorHAnsi" w:hAnsiTheme="majorHAnsi" w:cstheme="majorBidi"/>
                <w:lang w:eastAsia="en-GB"/>
              </w:rPr>
            </w:pPr>
            <w:r w:rsidRPr="114DC3E7">
              <w:rPr>
                <w:rFonts w:eastAsia="Times New Roman" w:asciiTheme="majorHAnsi" w:hAnsiTheme="majorHAnsi" w:cstheme="majorBidi"/>
                <w:lang w:eastAsia="en-GB"/>
              </w:rPr>
              <w:t>To undertake an assessment of the Council’s arrangements against Fighting Fraud and Corruption Locally 2020-2025</w:t>
            </w:r>
          </w:p>
        </w:tc>
        <w:tc>
          <w:tcPr>
            <w:tcW w:w="6044" w:type="dxa"/>
          </w:tcPr>
          <w:p w:rsidR="00F52A8B" w:rsidP="00F12729">
            <w:pPr>
              <w:rPr>
                <w:rFonts w:eastAsia="Times New Roman" w:asciiTheme="majorHAnsi" w:hAnsiTheme="majorHAnsi" w:cstheme="majorBidi"/>
                <w:lang w:eastAsia="en-GB"/>
              </w:rPr>
            </w:pPr>
            <w:r w:rsidRPr="698CBF94">
              <w:rPr>
                <w:rFonts w:eastAsia="Times New Roman" w:asciiTheme="majorHAnsi" w:hAnsiTheme="majorHAnsi" w:cstheme="majorBidi"/>
                <w:lang w:eastAsia="en-GB"/>
              </w:rPr>
              <w:t xml:space="preserve">Complete </w:t>
            </w:r>
            <w:r>
              <w:rPr>
                <w:rFonts w:eastAsia="Times New Roman" w:asciiTheme="majorHAnsi" w:hAnsiTheme="majorHAnsi" w:cstheme="majorBidi"/>
                <w:lang w:eastAsia="en-GB"/>
              </w:rPr>
              <w:t>–</w:t>
            </w:r>
            <w:r w:rsidRPr="698CBF94">
              <w:rPr>
                <w:rFonts w:eastAsia="Times New Roman" w:asciiTheme="majorHAnsi" w:hAnsiTheme="majorHAnsi" w:cstheme="majorBidi"/>
                <w:lang w:eastAsia="en-GB"/>
              </w:rPr>
              <w:t xml:space="preserve"> </w:t>
            </w:r>
            <w:r>
              <w:rPr>
                <w:rFonts w:eastAsia="Times New Roman" w:asciiTheme="majorHAnsi" w:hAnsiTheme="majorHAnsi" w:cstheme="majorBidi"/>
                <w:lang w:eastAsia="en-GB"/>
              </w:rPr>
              <w:t xml:space="preserve">the Fighting Fraud and Corruption Locally </w:t>
            </w:r>
            <w:r w:rsidRPr="698CBF94">
              <w:rPr>
                <w:rFonts w:eastAsia="Times New Roman" w:asciiTheme="majorHAnsi" w:hAnsiTheme="majorHAnsi" w:cstheme="majorBidi"/>
                <w:lang w:eastAsia="en-GB"/>
              </w:rPr>
              <w:t xml:space="preserve">Checklist </w:t>
            </w:r>
            <w:r>
              <w:rPr>
                <w:rFonts w:eastAsia="Times New Roman" w:asciiTheme="majorHAnsi" w:hAnsiTheme="majorHAnsi" w:cstheme="majorBidi"/>
                <w:lang w:eastAsia="en-GB"/>
              </w:rPr>
              <w:t>has been completed and</w:t>
            </w:r>
            <w:r w:rsidRPr="698CBF94">
              <w:rPr>
                <w:rFonts w:eastAsia="Times New Roman" w:asciiTheme="majorHAnsi" w:hAnsiTheme="majorHAnsi" w:cstheme="majorBidi"/>
                <w:lang w:eastAsia="en-GB"/>
              </w:rPr>
              <w:t xml:space="preserve"> presented to Corporate Governance Group Nov</w:t>
            </w:r>
            <w:r>
              <w:rPr>
                <w:rFonts w:eastAsia="Times New Roman" w:asciiTheme="majorHAnsi" w:hAnsiTheme="majorHAnsi" w:cstheme="majorBidi"/>
                <w:lang w:eastAsia="en-GB"/>
              </w:rPr>
              <w:t>ember</w:t>
            </w:r>
            <w:r w:rsidRPr="698CBF94">
              <w:rPr>
                <w:rFonts w:eastAsia="Times New Roman" w:asciiTheme="majorHAnsi" w:hAnsiTheme="majorHAnsi" w:cstheme="majorBidi"/>
                <w:lang w:eastAsia="en-GB"/>
              </w:rPr>
              <w:t xml:space="preserve"> 21.</w:t>
            </w:r>
          </w:p>
        </w:tc>
      </w:tr>
      <w:tr w:rsidTr="00F12729">
        <w:tblPrEx>
          <w:tblW w:w="0" w:type="auto"/>
          <w:tblLook w:val="04A0"/>
        </w:tblPrEx>
        <w:tc>
          <w:tcPr>
            <w:tcW w:w="2972" w:type="dxa"/>
          </w:tcPr>
          <w:p w:rsidR="00F52A8B" w:rsidP="00F12729">
            <w:pPr>
              <w:rPr>
                <w:rFonts w:ascii="Arial" w:eastAsia="Arial" w:hAnsi="Arial" w:cs="Arial"/>
                <w:lang w:val="en-US"/>
              </w:rPr>
            </w:pPr>
            <w:r w:rsidRPr="698CBF94">
              <w:rPr>
                <w:rFonts w:ascii="Arial" w:eastAsia="Arial" w:hAnsi="Arial" w:cs="Arial"/>
                <w:lang w:val="en-US"/>
              </w:rPr>
              <w:t>Deliver a procurement project to purchase new insurance policies across both portfolios from January 2022</w:t>
            </w:r>
          </w:p>
        </w:tc>
        <w:tc>
          <w:tcPr>
            <w:tcW w:w="6044" w:type="dxa"/>
          </w:tcPr>
          <w:p w:rsidR="00F52A8B" w:rsidP="00F12729">
            <w:pPr>
              <w:rPr>
                <w:rFonts w:eastAsia="Times New Roman" w:asciiTheme="majorHAnsi" w:hAnsiTheme="majorHAnsi" w:cstheme="majorBidi"/>
                <w:lang w:eastAsia="en-GB"/>
              </w:rPr>
            </w:pPr>
            <w:r>
              <w:rPr>
                <w:rFonts w:eastAsia="Times New Roman" w:asciiTheme="majorHAnsi" w:hAnsiTheme="majorHAnsi" w:cstheme="majorBidi"/>
                <w:lang w:eastAsia="en-GB"/>
              </w:rPr>
              <w:t>This work is n</w:t>
            </w:r>
            <w:r w:rsidRPr="698CBF94">
              <w:rPr>
                <w:rFonts w:eastAsia="Times New Roman" w:asciiTheme="majorHAnsi" w:hAnsiTheme="majorHAnsi" w:cstheme="majorBidi"/>
                <w:lang w:eastAsia="en-GB"/>
              </w:rPr>
              <w:t>earin</w:t>
            </w:r>
            <w:r w:rsidRPr="698CBF94">
              <w:rPr>
                <w:rFonts w:eastAsia="Times New Roman" w:asciiTheme="majorHAnsi" w:hAnsiTheme="majorHAnsi" w:cstheme="majorBidi"/>
                <w:lang w:eastAsia="en-GB"/>
              </w:rPr>
              <w:t xml:space="preserve">g completion </w:t>
            </w:r>
            <w:r>
              <w:rPr>
                <w:rFonts w:eastAsia="Times New Roman" w:asciiTheme="majorHAnsi" w:hAnsiTheme="majorHAnsi" w:cstheme="majorBidi"/>
                <w:lang w:eastAsia="en-GB"/>
              </w:rPr>
              <w:t>and has been presented to Cabinet. The</w:t>
            </w:r>
            <w:r w:rsidRPr="698CBF94">
              <w:rPr>
                <w:rFonts w:eastAsia="Times New Roman" w:asciiTheme="majorHAnsi" w:hAnsiTheme="majorHAnsi" w:cstheme="majorBidi"/>
                <w:lang w:eastAsia="en-GB"/>
              </w:rPr>
              <w:t xml:space="preserve"> final award letter </w:t>
            </w:r>
            <w:r>
              <w:rPr>
                <w:rFonts w:eastAsia="Times New Roman" w:asciiTheme="majorHAnsi" w:hAnsiTheme="majorHAnsi" w:cstheme="majorBidi"/>
                <w:lang w:eastAsia="en-GB"/>
              </w:rPr>
              <w:t>was issued in mid-December 2021.</w:t>
            </w:r>
          </w:p>
        </w:tc>
      </w:tr>
    </w:tbl>
    <w:p w:rsidR="00F52A8B" w:rsidRPr="00B06490" w:rsidP="00F52A8B">
      <w:pPr>
        <w:spacing w:after="0" w:line="240" w:lineRule="auto"/>
        <w:rPr>
          <w:rFonts w:eastAsia="Times New Roman" w:asciiTheme="majorHAnsi" w:hAnsiTheme="majorHAnsi" w:cstheme="majorHAnsi"/>
          <w:lang w:eastAsia="en-GB"/>
        </w:rPr>
      </w:pPr>
    </w:p>
    <w:p w:rsidR="00F52A8B" w:rsidP="00F52A8B">
      <w:pPr>
        <w:pStyle w:val="ListParagraph"/>
        <w:numPr>
          <w:ilvl w:val="0"/>
          <w:numId w:val="8"/>
        </w:numPr>
        <w:spacing w:after="0" w:line="240" w:lineRule="auto"/>
        <w:rPr>
          <w:rFonts w:eastAsia="Times New Roman" w:asciiTheme="majorHAnsi" w:hAnsiTheme="majorHAnsi" w:cstheme="majorBidi"/>
          <w:lang w:eastAsia="en-GB"/>
        </w:rPr>
      </w:pPr>
      <w:r w:rsidRPr="698CBF94">
        <w:rPr>
          <w:rFonts w:eastAsia="Times New Roman" w:asciiTheme="majorHAnsi" w:hAnsiTheme="majorHAnsi" w:cstheme="majorBidi"/>
          <w:lang w:eastAsia="en-GB"/>
        </w:rPr>
        <w:t>The team also monitors performance indicators to assess service performance. The latest position is set out below.</w:t>
      </w:r>
    </w:p>
    <w:p w:rsidR="00F52A8B" w:rsidP="00F52A8B">
      <w:pPr>
        <w:spacing w:after="0" w:line="240" w:lineRule="auto"/>
        <w:rPr>
          <w:rFonts w:eastAsia="Times New Roman" w:asciiTheme="majorHAnsi" w:hAnsiTheme="majorHAnsi" w:cstheme="majorHAnsi"/>
          <w:lang w:eastAsia="en-GB"/>
        </w:rPr>
      </w:pPr>
    </w:p>
    <w:tbl>
      <w:tblPr>
        <w:tblStyle w:val="TableGrid"/>
        <w:tblW w:w="0" w:type="auto"/>
        <w:tblLook w:val="04A0"/>
      </w:tblPr>
      <w:tblGrid>
        <w:gridCol w:w="3005"/>
        <w:gridCol w:w="3005"/>
        <w:gridCol w:w="3006"/>
      </w:tblGrid>
      <w:tr w:rsidTr="00F12729">
        <w:tblPrEx>
          <w:tblW w:w="0" w:type="auto"/>
          <w:tblLook w:val="04A0"/>
        </w:tblPrEx>
        <w:tc>
          <w:tcPr>
            <w:tcW w:w="3005" w:type="dxa"/>
          </w:tcPr>
          <w:p w:rsidR="00F52A8B" w:rsidRPr="00872EB0" w:rsidP="00F12729">
            <w:pPr>
              <w:rPr>
                <w:rFonts w:eastAsia="Times New Roman" w:asciiTheme="majorHAnsi" w:hAnsiTheme="majorHAnsi" w:cstheme="majorHAnsi"/>
                <w:b/>
                <w:bCs/>
                <w:lang w:eastAsia="en-GB"/>
              </w:rPr>
            </w:pPr>
            <w:r w:rsidRPr="00872EB0">
              <w:rPr>
                <w:rFonts w:eastAsia="Times New Roman" w:asciiTheme="majorHAnsi" w:hAnsiTheme="majorHAnsi" w:cstheme="majorHAnsi"/>
                <w:b/>
                <w:bCs/>
                <w:lang w:eastAsia="en-GB"/>
              </w:rPr>
              <w:t>Key indicator</w:t>
            </w:r>
          </w:p>
        </w:tc>
        <w:tc>
          <w:tcPr>
            <w:tcW w:w="3005" w:type="dxa"/>
          </w:tcPr>
          <w:p w:rsidR="00F52A8B" w:rsidRPr="00872EB0" w:rsidP="00F12729">
            <w:pPr>
              <w:rPr>
                <w:rFonts w:eastAsia="Times New Roman" w:asciiTheme="majorHAnsi" w:hAnsiTheme="majorHAnsi" w:cstheme="majorHAnsi"/>
                <w:b/>
                <w:bCs/>
                <w:lang w:eastAsia="en-GB"/>
              </w:rPr>
            </w:pPr>
            <w:r w:rsidRPr="00872EB0">
              <w:rPr>
                <w:rFonts w:eastAsia="Times New Roman" w:asciiTheme="majorHAnsi" w:hAnsiTheme="majorHAnsi" w:cstheme="majorHAnsi"/>
                <w:b/>
                <w:bCs/>
                <w:lang w:eastAsia="en-GB"/>
              </w:rPr>
              <w:t>Target</w:t>
            </w:r>
          </w:p>
        </w:tc>
        <w:tc>
          <w:tcPr>
            <w:tcW w:w="3006" w:type="dxa"/>
          </w:tcPr>
          <w:p w:rsidR="00F52A8B" w:rsidRPr="00872EB0" w:rsidP="00F12729">
            <w:pPr>
              <w:rPr>
                <w:rFonts w:eastAsia="Times New Roman" w:asciiTheme="majorHAnsi" w:hAnsiTheme="majorHAnsi" w:cstheme="majorHAnsi"/>
                <w:b/>
                <w:bCs/>
                <w:lang w:eastAsia="en-GB"/>
              </w:rPr>
            </w:pPr>
            <w:r w:rsidRPr="00872EB0">
              <w:rPr>
                <w:rFonts w:eastAsia="Times New Roman" w:asciiTheme="majorHAnsi" w:hAnsiTheme="majorHAnsi" w:cstheme="majorHAnsi"/>
                <w:b/>
                <w:bCs/>
                <w:lang w:eastAsia="en-GB"/>
              </w:rPr>
              <w:t>Latest perfor</w:t>
            </w:r>
            <w:r w:rsidRPr="00872EB0">
              <w:rPr>
                <w:rFonts w:eastAsia="Times New Roman" w:asciiTheme="majorHAnsi" w:hAnsiTheme="majorHAnsi" w:cstheme="majorHAnsi"/>
                <w:b/>
                <w:bCs/>
                <w:lang w:eastAsia="en-GB"/>
              </w:rPr>
              <w:t>mance</w:t>
            </w:r>
          </w:p>
        </w:tc>
      </w:tr>
      <w:tr w:rsidTr="00F12729">
        <w:tblPrEx>
          <w:tblW w:w="0" w:type="auto"/>
          <w:tblLook w:val="04A0"/>
        </w:tblPrEx>
        <w:tc>
          <w:tcPr>
            <w:tcW w:w="3005" w:type="dxa"/>
          </w:tcPr>
          <w:p w:rsidR="00F52A8B" w:rsidP="00F12729">
            <w:pPr>
              <w:rPr>
                <w:rFonts w:eastAsia="Times New Roman" w:asciiTheme="majorHAnsi" w:hAnsiTheme="majorHAnsi" w:cstheme="majorBidi"/>
                <w:lang w:eastAsia="en-GB"/>
              </w:rPr>
            </w:pPr>
            <w:r w:rsidRPr="1F4B7E51">
              <w:rPr>
                <w:rFonts w:eastAsia="Times New Roman" w:asciiTheme="majorHAnsi" w:hAnsiTheme="majorHAnsi" w:cstheme="majorBidi"/>
                <w:lang w:eastAsia="en-GB"/>
              </w:rPr>
              <w:t xml:space="preserve">% of minutes circulated within 10 </w:t>
            </w:r>
            <w:r w:rsidRPr="547A2825">
              <w:rPr>
                <w:rFonts w:eastAsia="Times New Roman" w:asciiTheme="majorHAnsi" w:hAnsiTheme="majorHAnsi" w:cstheme="majorBidi"/>
                <w:lang w:eastAsia="en-GB"/>
              </w:rPr>
              <w:t>days</w:t>
            </w:r>
          </w:p>
        </w:tc>
        <w:tc>
          <w:tcPr>
            <w:tcW w:w="3005" w:type="dxa"/>
          </w:tcPr>
          <w:p w:rsidR="00F52A8B" w:rsidP="00F12729">
            <w:pPr>
              <w:rPr>
                <w:rFonts w:eastAsia="Times New Roman" w:asciiTheme="majorHAnsi" w:hAnsiTheme="majorHAnsi" w:cstheme="majorBidi"/>
                <w:lang w:eastAsia="en-GB"/>
              </w:rPr>
            </w:pPr>
            <w:r w:rsidRPr="4CC3B46F">
              <w:rPr>
                <w:rFonts w:eastAsia="Times New Roman" w:asciiTheme="majorHAnsi" w:hAnsiTheme="majorHAnsi" w:cstheme="majorBidi"/>
                <w:lang w:eastAsia="en-GB"/>
              </w:rPr>
              <w:t>95%</w:t>
            </w:r>
          </w:p>
        </w:tc>
        <w:tc>
          <w:tcPr>
            <w:tcW w:w="3006" w:type="dxa"/>
          </w:tcPr>
          <w:p w:rsidR="00F52A8B" w:rsidP="00F12729">
            <w:pPr>
              <w:rPr>
                <w:rFonts w:eastAsia="Times New Roman" w:asciiTheme="majorHAnsi" w:hAnsiTheme="majorHAnsi" w:cstheme="majorBidi"/>
                <w:lang w:eastAsia="en-GB"/>
              </w:rPr>
            </w:pPr>
            <w:r w:rsidRPr="0BBA566D">
              <w:rPr>
                <w:rFonts w:eastAsia="Times New Roman" w:asciiTheme="majorHAnsi" w:hAnsiTheme="majorHAnsi" w:cstheme="majorBidi"/>
                <w:lang w:eastAsia="en-GB"/>
              </w:rPr>
              <w:t>71% - An action plan has</w:t>
            </w:r>
            <w:r w:rsidRPr="64A7493D">
              <w:rPr>
                <w:rFonts w:eastAsia="Times New Roman" w:asciiTheme="majorHAnsi" w:hAnsiTheme="majorHAnsi" w:cstheme="majorBidi"/>
                <w:lang w:eastAsia="en-GB"/>
              </w:rPr>
              <w:t xml:space="preserve"> been entered but it </w:t>
            </w:r>
            <w:r w:rsidRPr="44474591">
              <w:rPr>
                <w:rFonts w:eastAsia="Times New Roman" w:asciiTheme="majorHAnsi" w:hAnsiTheme="majorHAnsi" w:cstheme="majorBidi"/>
                <w:lang w:eastAsia="en-GB"/>
              </w:rPr>
              <w:t xml:space="preserve">should be noted that </w:t>
            </w:r>
            <w:r w:rsidRPr="58F3D115">
              <w:rPr>
                <w:rFonts w:eastAsia="Times New Roman" w:asciiTheme="majorHAnsi" w:hAnsiTheme="majorHAnsi" w:cstheme="majorBidi"/>
                <w:lang w:eastAsia="en-GB"/>
              </w:rPr>
              <w:t xml:space="preserve">performance had been at 100% </w:t>
            </w:r>
            <w:r w:rsidRPr="7C45E71C">
              <w:rPr>
                <w:rFonts w:eastAsia="Times New Roman" w:asciiTheme="majorHAnsi" w:hAnsiTheme="majorHAnsi" w:cstheme="majorBidi"/>
                <w:lang w:eastAsia="en-GB"/>
              </w:rPr>
              <w:t xml:space="preserve">for </w:t>
            </w:r>
            <w:r w:rsidRPr="587A54C0">
              <w:rPr>
                <w:rFonts w:eastAsia="Times New Roman" w:asciiTheme="majorHAnsi" w:hAnsiTheme="majorHAnsi" w:cstheme="majorBidi"/>
                <w:lang w:eastAsia="en-GB"/>
              </w:rPr>
              <w:t xml:space="preserve">4 of the </w:t>
            </w:r>
            <w:r w:rsidRPr="1F1E80CF">
              <w:rPr>
                <w:rFonts w:eastAsia="Times New Roman" w:asciiTheme="majorHAnsi" w:hAnsiTheme="majorHAnsi" w:cstheme="majorBidi"/>
                <w:lang w:eastAsia="en-GB"/>
              </w:rPr>
              <w:t>previous 6 months</w:t>
            </w:r>
          </w:p>
        </w:tc>
      </w:tr>
      <w:tr w:rsidTr="00F12729">
        <w:tblPrEx>
          <w:tblW w:w="0" w:type="auto"/>
          <w:tblLook w:val="04A0"/>
        </w:tblPrEx>
        <w:tc>
          <w:tcPr>
            <w:tcW w:w="3005" w:type="dxa"/>
          </w:tcPr>
          <w:p w:rsidR="00F52A8B" w:rsidP="00F12729">
            <w:pPr>
              <w:rPr>
                <w:rFonts w:eastAsia="Times New Roman" w:asciiTheme="majorHAnsi" w:hAnsiTheme="majorHAnsi" w:cstheme="majorBidi"/>
                <w:lang w:eastAsia="en-GB"/>
              </w:rPr>
            </w:pPr>
            <w:r w:rsidRPr="3F0967E1">
              <w:rPr>
                <w:rFonts w:eastAsia="Times New Roman" w:asciiTheme="majorHAnsi" w:hAnsiTheme="majorHAnsi" w:cstheme="majorBidi"/>
                <w:lang w:eastAsia="en-GB"/>
              </w:rPr>
              <w:t xml:space="preserve">% of authors uploading </w:t>
            </w:r>
            <w:r w:rsidRPr="3DF12C6A">
              <w:rPr>
                <w:rFonts w:eastAsia="Times New Roman" w:asciiTheme="majorHAnsi" w:hAnsiTheme="majorHAnsi" w:cstheme="majorBidi"/>
                <w:lang w:eastAsia="en-GB"/>
              </w:rPr>
              <w:t>reports to Mod.gov</w:t>
            </w:r>
          </w:p>
        </w:tc>
        <w:tc>
          <w:tcPr>
            <w:tcW w:w="3005" w:type="dxa"/>
          </w:tcPr>
          <w:p w:rsidR="00F52A8B" w:rsidP="00F12729">
            <w:pPr>
              <w:rPr>
                <w:rFonts w:eastAsia="Times New Roman" w:asciiTheme="majorHAnsi" w:hAnsiTheme="majorHAnsi" w:cstheme="majorBidi"/>
                <w:lang w:eastAsia="en-GB"/>
              </w:rPr>
            </w:pPr>
            <w:r w:rsidRPr="65DF0605">
              <w:rPr>
                <w:rFonts w:eastAsia="Times New Roman" w:asciiTheme="majorHAnsi" w:hAnsiTheme="majorHAnsi" w:cstheme="majorBidi"/>
                <w:lang w:eastAsia="en-GB"/>
              </w:rPr>
              <w:t>92%</w:t>
            </w:r>
          </w:p>
        </w:tc>
        <w:tc>
          <w:tcPr>
            <w:tcW w:w="3006" w:type="dxa"/>
          </w:tcPr>
          <w:p w:rsidR="00F52A8B" w:rsidP="00F12729">
            <w:pPr>
              <w:rPr>
                <w:rFonts w:eastAsia="Times New Roman" w:asciiTheme="majorHAnsi" w:hAnsiTheme="majorHAnsi" w:cstheme="majorBidi"/>
                <w:lang w:eastAsia="en-GB"/>
              </w:rPr>
            </w:pPr>
            <w:r w:rsidRPr="65DF0605">
              <w:rPr>
                <w:rFonts w:eastAsia="Times New Roman" w:asciiTheme="majorHAnsi" w:hAnsiTheme="majorHAnsi" w:cstheme="majorBidi"/>
                <w:lang w:eastAsia="en-GB"/>
              </w:rPr>
              <w:t>100%</w:t>
            </w:r>
          </w:p>
        </w:tc>
      </w:tr>
      <w:tr w:rsidTr="00F12729">
        <w:tblPrEx>
          <w:tblW w:w="0" w:type="auto"/>
          <w:tblLook w:val="04A0"/>
        </w:tblPrEx>
        <w:tc>
          <w:tcPr>
            <w:tcW w:w="3005" w:type="dxa"/>
          </w:tcPr>
          <w:p w:rsidR="00F52A8B" w:rsidP="00F12729">
            <w:pPr>
              <w:rPr>
                <w:rFonts w:eastAsia="Times New Roman" w:asciiTheme="majorHAnsi" w:hAnsiTheme="majorHAnsi" w:cstheme="majorBidi"/>
                <w:lang w:eastAsia="en-GB"/>
              </w:rPr>
            </w:pPr>
            <w:r w:rsidRPr="09C291CF">
              <w:rPr>
                <w:rFonts w:eastAsia="Times New Roman" w:asciiTheme="majorHAnsi" w:hAnsiTheme="majorHAnsi" w:cstheme="majorBidi"/>
                <w:lang w:eastAsia="en-GB"/>
              </w:rPr>
              <w:t xml:space="preserve">% of files opened within 5 days </w:t>
            </w:r>
          </w:p>
        </w:tc>
        <w:tc>
          <w:tcPr>
            <w:tcW w:w="3005" w:type="dxa"/>
          </w:tcPr>
          <w:p w:rsidR="00F52A8B" w:rsidP="00F12729">
            <w:pPr>
              <w:rPr>
                <w:rFonts w:eastAsia="Times New Roman" w:asciiTheme="majorHAnsi" w:hAnsiTheme="majorHAnsi" w:cstheme="majorBidi"/>
                <w:lang w:eastAsia="en-GB"/>
              </w:rPr>
            </w:pPr>
            <w:r w:rsidRPr="09C291CF">
              <w:rPr>
                <w:rFonts w:eastAsia="Times New Roman" w:asciiTheme="majorHAnsi" w:hAnsiTheme="majorHAnsi" w:cstheme="majorBidi"/>
                <w:lang w:eastAsia="en-GB"/>
              </w:rPr>
              <w:t>90%</w:t>
            </w:r>
          </w:p>
        </w:tc>
        <w:tc>
          <w:tcPr>
            <w:tcW w:w="3006" w:type="dxa"/>
          </w:tcPr>
          <w:p w:rsidR="00F52A8B" w:rsidP="00F12729">
            <w:pPr>
              <w:rPr>
                <w:rFonts w:eastAsia="Times New Roman" w:asciiTheme="majorHAnsi" w:hAnsiTheme="majorHAnsi" w:cstheme="majorBidi"/>
                <w:lang w:eastAsia="en-GB"/>
              </w:rPr>
            </w:pPr>
            <w:r w:rsidRPr="09C291CF">
              <w:rPr>
                <w:rFonts w:eastAsia="Times New Roman" w:asciiTheme="majorHAnsi" w:hAnsiTheme="majorHAnsi" w:cstheme="majorBidi"/>
                <w:lang w:eastAsia="en-GB"/>
              </w:rPr>
              <w:t xml:space="preserve">70% - this is in part due to carrying a vacancy in the </w:t>
            </w:r>
            <w:r>
              <w:rPr>
                <w:rFonts w:eastAsia="Times New Roman" w:asciiTheme="majorHAnsi" w:hAnsiTheme="majorHAnsi" w:cstheme="majorBidi"/>
                <w:lang w:eastAsia="en-GB"/>
              </w:rPr>
              <w:t xml:space="preserve">legal </w:t>
            </w:r>
            <w:r w:rsidRPr="09C291CF">
              <w:rPr>
                <w:rFonts w:eastAsia="Times New Roman" w:asciiTheme="majorHAnsi" w:hAnsiTheme="majorHAnsi" w:cstheme="majorBidi"/>
                <w:lang w:eastAsia="en-GB"/>
              </w:rPr>
              <w:t>team and the reprioritisation of work as a result.</w:t>
            </w:r>
          </w:p>
        </w:tc>
      </w:tr>
      <w:tr w:rsidTr="00F12729">
        <w:tblPrEx>
          <w:tblW w:w="0" w:type="auto"/>
          <w:tblLook w:val="04A0"/>
        </w:tblPrEx>
        <w:tc>
          <w:tcPr>
            <w:tcW w:w="3005" w:type="dxa"/>
          </w:tcPr>
          <w:p w:rsidR="00F52A8B" w:rsidP="00F12729">
            <w:pPr>
              <w:rPr>
                <w:rFonts w:eastAsia="Times New Roman" w:asciiTheme="majorHAnsi" w:hAnsiTheme="majorHAnsi" w:cstheme="majorBidi"/>
                <w:lang w:eastAsia="en-GB"/>
              </w:rPr>
            </w:pPr>
            <w:r w:rsidRPr="60C49099">
              <w:rPr>
                <w:rFonts w:eastAsia="Times New Roman" w:asciiTheme="majorHAnsi" w:hAnsiTheme="majorHAnsi" w:cstheme="majorBidi"/>
                <w:lang w:eastAsia="en-GB"/>
              </w:rPr>
              <w:t>% of legal documents drafted within 4 weeks of receipt of instruction</w:t>
            </w:r>
          </w:p>
        </w:tc>
        <w:tc>
          <w:tcPr>
            <w:tcW w:w="3005" w:type="dxa"/>
          </w:tcPr>
          <w:p w:rsidR="00F52A8B" w:rsidP="00F12729">
            <w:pPr>
              <w:rPr>
                <w:rFonts w:eastAsia="Times New Roman" w:asciiTheme="majorHAnsi" w:hAnsiTheme="majorHAnsi" w:cstheme="majorBidi"/>
                <w:lang w:eastAsia="en-GB"/>
              </w:rPr>
            </w:pPr>
            <w:r w:rsidRPr="60C49099">
              <w:rPr>
                <w:rFonts w:eastAsia="Times New Roman" w:asciiTheme="majorHAnsi" w:hAnsiTheme="majorHAnsi" w:cstheme="majorBidi"/>
                <w:lang w:eastAsia="en-GB"/>
              </w:rPr>
              <w:t>90%</w:t>
            </w:r>
          </w:p>
        </w:tc>
        <w:tc>
          <w:tcPr>
            <w:tcW w:w="3006" w:type="dxa"/>
          </w:tcPr>
          <w:p w:rsidR="00F52A8B" w:rsidP="00F12729">
            <w:pPr>
              <w:rPr>
                <w:rFonts w:eastAsia="Times New Roman" w:asciiTheme="majorHAnsi" w:hAnsiTheme="majorHAnsi" w:cstheme="majorBidi"/>
                <w:lang w:eastAsia="en-GB"/>
              </w:rPr>
            </w:pPr>
            <w:r w:rsidRPr="60C49099">
              <w:rPr>
                <w:rFonts w:eastAsia="Times New Roman" w:asciiTheme="majorHAnsi" w:hAnsiTheme="majorHAnsi" w:cstheme="majorBidi"/>
                <w:lang w:eastAsia="en-GB"/>
              </w:rPr>
              <w:t>100%</w:t>
            </w:r>
          </w:p>
        </w:tc>
      </w:tr>
      <w:tr w:rsidTr="00F12729">
        <w:tblPrEx>
          <w:tblW w:w="0" w:type="auto"/>
          <w:tblLook w:val="04A0"/>
        </w:tblPrEx>
        <w:tc>
          <w:tcPr>
            <w:tcW w:w="3005" w:type="dxa"/>
          </w:tcPr>
          <w:p w:rsidR="00F52A8B" w:rsidP="00F12729">
            <w:pPr>
              <w:rPr>
                <w:rFonts w:eastAsia="Times New Roman" w:asciiTheme="majorHAnsi" w:hAnsiTheme="majorHAnsi" w:cstheme="majorBidi"/>
                <w:lang w:eastAsia="en-GB"/>
              </w:rPr>
            </w:pPr>
            <w:r w:rsidRPr="60C49099">
              <w:rPr>
                <w:rFonts w:eastAsia="Times New Roman" w:asciiTheme="majorHAnsi" w:hAnsiTheme="majorHAnsi" w:cstheme="majorBidi"/>
                <w:lang w:eastAsia="en-GB"/>
              </w:rPr>
              <w:t xml:space="preserve">% of </w:t>
            </w:r>
            <w:r w:rsidRPr="60C49099">
              <w:rPr>
                <w:rFonts w:eastAsia="Times New Roman" w:asciiTheme="majorHAnsi" w:hAnsiTheme="majorHAnsi" w:cstheme="majorBidi"/>
                <w:lang w:eastAsia="en-GB"/>
              </w:rPr>
              <w:t>prosecution files reviewed within 4 weeks of receipt of instruction</w:t>
            </w:r>
          </w:p>
        </w:tc>
        <w:tc>
          <w:tcPr>
            <w:tcW w:w="3005" w:type="dxa"/>
          </w:tcPr>
          <w:p w:rsidR="00F52A8B" w:rsidP="00F12729">
            <w:pPr>
              <w:rPr>
                <w:rFonts w:eastAsia="Times New Roman" w:asciiTheme="majorHAnsi" w:hAnsiTheme="majorHAnsi" w:cstheme="majorHAnsi"/>
                <w:lang w:eastAsia="en-GB"/>
              </w:rPr>
            </w:pPr>
            <w:r w:rsidRPr="60C49099">
              <w:rPr>
                <w:rFonts w:eastAsia="Times New Roman" w:asciiTheme="majorHAnsi" w:hAnsiTheme="majorHAnsi" w:cstheme="majorBidi"/>
                <w:lang w:eastAsia="en-GB"/>
              </w:rPr>
              <w:t>90%</w:t>
            </w:r>
          </w:p>
        </w:tc>
        <w:tc>
          <w:tcPr>
            <w:tcW w:w="3006" w:type="dxa"/>
          </w:tcPr>
          <w:p w:rsidR="00F52A8B" w:rsidP="00F12729">
            <w:pPr>
              <w:rPr>
                <w:rFonts w:eastAsia="Times New Roman" w:asciiTheme="majorHAnsi" w:hAnsiTheme="majorHAnsi" w:cstheme="majorHAnsi"/>
                <w:lang w:eastAsia="en-GB"/>
              </w:rPr>
            </w:pPr>
            <w:r w:rsidRPr="60C49099">
              <w:rPr>
                <w:rFonts w:eastAsia="Times New Roman" w:asciiTheme="majorHAnsi" w:hAnsiTheme="majorHAnsi" w:cstheme="majorBidi"/>
                <w:lang w:eastAsia="en-GB"/>
              </w:rPr>
              <w:t>100%</w:t>
            </w:r>
          </w:p>
        </w:tc>
      </w:tr>
    </w:tbl>
    <w:p w:rsidR="00F52A8B" w:rsidP="00F52A8B"/>
    <w:p w:rsidR="00F52A8B" w:rsidP="00F52A8B">
      <w:pPr>
        <w:pStyle w:val="ListParagraph"/>
        <w:spacing w:after="0" w:line="240" w:lineRule="auto"/>
        <w:ind w:left="360"/>
        <w:rPr>
          <w:rFonts w:eastAsia="Times New Roman" w:asciiTheme="majorHAnsi" w:hAnsiTheme="majorHAnsi" w:cstheme="majorHAnsi"/>
          <w:lang w:eastAsia="en-GB"/>
        </w:rPr>
      </w:pPr>
    </w:p>
    <w:p w:rsidR="00F52A8B" w:rsidP="00F52A8B">
      <w:pPr>
        <w:pStyle w:val="ListParagraph"/>
        <w:spacing w:after="0" w:line="240" w:lineRule="auto"/>
        <w:ind w:left="360"/>
        <w:rPr>
          <w:rFonts w:eastAsia="Times New Roman" w:asciiTheme="majorHAnsi" w:hAnsiTheme="majorHAnsi" w:cstheme="majorHAnsi"/>
          <w:lang w:eastAsia="en-GB"/>
        </w:rPr>
      </w:pPr>
    </w:p>
    <w:p w:rsidR="00F52A8B" w:rsidP="00F52A8B">
      <w:pPr>
        <w:pStyle w:val="ListParagraph"/>
        <w:spacing w:after="0" w:line="240" w:lineRule="auto"/>
        <w:ind w:left="360"/>
        <w:rPr>
          <w:rFonts w:eastAsia="Times New Roman" w:asciiTheme="majorHAnsi" w:hAnsiTheme="majorHAnsi" w:cstheme="majorHAnsi"/>
          <w:lang w:eastAsia="en-GB"/>
        </w:rPr>
      </w:pPr>
    </w:p>
    <w:p w:rsidR="00F52A8B" w:rsidRPr="000E5A80" w:rsidP="00F52A8B">
      <w:pPr>
        <w:spacing w:after="0" w:line="240" w:lineRule="auto"/>
        <w:rPr>
          <w:rFonts w:eastAsia="Times New Roman" w:asciiTheme="majorHAnsi" w:hAnsiTheme="majorHAnsi" w:cstheme="majorBidi"/>
          <w:lang w:eastAsia="en-GB"/>
        </w:rPr>
      </w:pPr>
    </w:p>
    <w:p w:rsidR="00F52A8B" w:rsidRPr="00EE02A2" w:rsidP="00F52A8B">
      <w:pPr>
        <w:rPr>
          <w:rFonts w:asciiTheme="majorHAnsi" w:hAnsiTheme="majorHAnsi" w:cstheme="majorHAnsi"/>
        </w:rPr>
      </w:pPr>
      <w:r w:rsidRPr="00EE02A2">
        <w:rPr>
          <w:rFonts w:eastAsia="Calibri" w:asciiTheme="majorHAnsi" w:hAnsiTheme="majorHAnsi" w:cstheme="majorHAnsi"/>
          <w:b/>
          <w:bCs/>
        </w:rPr>
        <w:t>Transformation and Partnerships</w:t>
      </w:r>
    </w:p>
    <w:p w:rsidR="00F52A8B" w:rsidP="00F52A8B">
      <w:pPr>
        <w:rPr>
          <w:rFonts w:ascii="Arial" w:eastAsia="Arial" w:hAnsi="Arial" w:cs="Arial"/>
        </w:rPr>
      </w:pPr>
      <w:r w:rsidRPr="72C41A2D">
        <w:rPr>
          <w:rFonts w:ascii="Calibri" w:eastAsia="Calibri" w:hAnsi="Calibri" w:cs="Calibri"/>
        </w:rPr>
        <w:t xml:space="preserve">17. </w:t>
      </w:r>
      <w:r w:rsidRPr="72C41A2D">
        <w:rPr>
          <w:rFonts w:ascii="Arial" w:eastAsia="Arial" w:hAnsi="Arial" w:cs="Arial"/>
        </w:rPr>
        <w:t xml:space="preserve">The service has in place a business plan to set out the key actions it will deliver of the year. The table below provides an update on </w:t>
      </w:r>
      <w:r w:rsidRPr="72C41A2D">
        <w:rPr>
          <w:rFonts w:ascii="Arial" w:eastAsia="Arial" w:hAnsi="Arial" w:cs="Arial"/>
        </w:rPr>
        <w:t>those key actions:</w:t>
      </w:r>
    </w:p>
    <w:p w:rsidR="00F52A8B" w:rsidP="00F52A8B">
      <w:r w:rsidRPr="72C41A2D">
        <w:rPr>
          <w:rFonts w:ascii="Arial" w:eastAsia="Arial" w:hAnsi="Arial" w:cs="Arial"/>
        </w:rPr>
        <w:t xml:space="preserve"> </w:t>
      </w:r>
    </w:p>
    <w:tbl>
      <w:tblPr>
        <w:tblW w:w="0" w:type="auto"/>
        <w:tblLayout w:type="fixed"/>
        <w:tblLook w:val="04A0"/>
      </w:tblPr>
      <w:tblGrid>
        <w:gridCol w:w="2970"/>
        <w:gridCol w:w="6030"/>
      </w:tblGrid>
      <w:tr w:rsidTr="00F12729">
        <w:tblPrEx>
          <w:tblW w:w="0" w:type="auto"/>
          <w:tblLayout w:type="fixed"/>
          <w:tblLook w:val="04A0"/>
        </w:tblPrEx>
        <w:tc>
          <w:tcPr>
            <w:tcW w:w="2970" w:type="dxa"/>
            <w:tcBorders>
              <w:top w:val="single" w:sz="8" w:space="0" w:color="auto"/>
              <w:left w:val="single" w:sz="8" w:space="0" w:color="auto"/>
              <w:bottom w:val="single" w:sz="8" w:space="0" w:color="auto"/>
              <w:right w:val="single" w:sz="8" w:space="0" w:color="auto"/>
            </w:tcBorders>
          </w:tcPr>
          <w:p w:rsidR="00F52A8B" w:rsidRPr="00303391" w:rsidP="00F12729">
            <w:r w:rsidRPr="00303391">
              <w:rPr>
                <w:rFonts w:ascii="Arial" w:eastAsia="Arial" w:hAnsi="Arial" w:cs="Arial"/>
                <w:b/>
                <w:bCs/>
              </w:rPr>
              <w:t>Key actions</w:t>
            </w:r>
            <w:r w:rsidRPr="00303391">
              <w:rPr>
                <w:rFonts w:ascii="Arial" w:eastAsia="Arial" w:hAnsi="Arial" w:cs="Arial"/>
              </w:rPr>
              <w:t xml:space="preserve"> </w:t>
            </w:r>
          </w:p>
        </w:tc>
        <w:tc>
          <w:tcPr>
            <w:tcW w:w="6030" w:type="dxa"/>
            <w:tcBorders>
              <w:top w:val="single" w:sz="8" w:space="0" w:color="auto"/>
              <w:left w:val="single" w:sz="8" w:space="0" w:color="auto"/>
              <w:bottom w:val="single" w:sz="8" w:space="0" w:color="auto"/>
              <w:right w:val="single" w:sz="8" w:space="0" w:color="auto"/>
            </w:tcBorders>
          </w:tcPr>
          <w:p w:rsidR="00F52A8B" w:rsidRPr="00303391" w:rsidP="00F12729">
            <w:pPr>
              <w:rPr>
                <w:b/>
                <w:bCs/>
              </w:rPr>
            </w:pPr>
            <w:r w:rsidRPr="00303391">
              <w:rPr>
                <w:rFonts w:ascii="Arial" w:eastAsia="Arial" w:hAnsi="Arial" w:cs="Arial"/>
                <w:b/>
                <w:bCs/>
              </w:rPr>
              <w:t xml:space="preserve">Update </w:t>
            </w:r>
          </w:p>
        </w:tc>
      </w:tr>
      <w:tr w:rsidTr="00F12729">
        <w:tblPrEx>
          <w:tblW w:w="0" w:type="auto"/>
          <w:tblLayout w:type="fixed"/>
          <w:tblLook w:val="04A0"/>
        </w:tblPrEx>
        <w:tc>
          <w:tcPr>
            <w:tcW w:w="2970" w:type="dxa"/>
            <w:tcBorders>
              <w:top w:val="single" w:sz="8" w:space="0" w:color="auto"/>
              <w:left w:val="single" w:sz="8" w:space="0" w:color="auto"/>
              <w:bottom w:val="single" w:sz="8" w:space="0" w:color="auto"/>
              <w:right w:val="single" w:sz="8" w:space="0" w:color="auto"/>
            </w:tcBorders>
            <w:vAlign w:val="center"/>
          </w:tcPr>
          <w:p w:rsidR="00F52A8B" w:rsidRPr="00303391" w:rsidP="00F12729">
            <w:r w:rsidRPr="00303391">
              <w:rPr>
                <w:rFonts w:ascii="Arial" w:eastAsia="Arial" w:hAnsi="Arial" w:cs="Arial"/>
                <w:color w:val="000000" w:themeColor="text1"/>
              </w:rPr>
              <w:t xml:space="preserve">HR Policy Framework </w:t>
            </w:r>
          </w:p>
        </w:tc>
        <w:tc>
          <w:tcPr>
            <w:tcW w:w="6030" w:type="dxa"/>
            <w:tcBorders>
              <w:top w:val="single" w:sz="8" w:space="0" w:color="auto"/>
              <w:left w:val="single" w:sz="8" w:space="0" w:color="auto"/>
              <w:bottom w:val="single" w:sz="8" w:space="0" w:color="auto"/>
              <w:right w:val="single" w:sz="8" w:space="0" w:color="auto"/>
            </w:tcBorders>
            <w:vAlign w:val="center"/>
          </w:tcPr>
          <w:p w:rsidR="00F52A8B" w:rsidRPr="00303391" w:rsidP="00F12729">
            <w:pPr>
              <w:rPr>
                <w:rFonts w:ascii="Arial" w:eastAsia="Arial" w:hAnsi="Arial" w:cs="Arial"/>
                <w:lang w:val="en-US"/>
              </w:rPr>
            </w:pPr>
            <w:r>
              <w:rPr>
                <w:rFonts w:ascii="Arial" w:eastAsia="Arial" w:hAnsi="Arial" w:cs="Arial"/>
                <w:lang w:val="en-US"/>
              </w:rPr>
              <w:t xml:space="preserve">This work is complete. The council’s HR policy framework has been reviewed and refreshed, ensuring that the council has in place strong and effective policies that support the </w:t>
            </w:r>
            <w:r>
              <w:rPr>
                <w:rFonts w:ascii="Arial" w:eastAsia="Arial" w:hAnsi="Arial" w:cs="Arial"/>
                <w:lang w:val="en-US"/>
              </w:rPr>
              <w:t>management of staff and the council’s overall governance framework</w:t>
            </w:r>
            <w:r w:rsidRPr="00303391">
              <w:rPr>
                <w:rFonts w:ascii="Arial" w:eastAsia="Arial" w:hAnsi="Arial" w:cs="Arial"/>
                <w:lang w:val="en-US"/>
              </w:rPr>
              <w:t xml:space="preserve"> </w:t>
            </w:r>
          </w:p>
        </w:tc>
      </w:tr>
      <w:tr w:rsidTr="00F12729">
        <w:tblPrEx>
          <w:tblW w:w="0" w:type="auto"/>
          <w:tblLayout w:type="fixed"/>
          <w:tblLook w:val="04A0"/>
        </w:tblPrEx>
        <w:tc>
          <w:tcPr>
            <w:tcW w:w="2970" w:type="dxa"/>
            <w:tcBorders>
              <w:top w:val="single" w:sz="8" w:space="0" w:color="auto"/>
              <w:left w:val="single" w:sz="8" w:space="0" w:color="auto"/>
              <w:bottom w:val="single" w:sz="8" w:space="0" w:color="auto"/>
              <w:right w:val="single" w:sz="8" w:space="0" w:color="auto"/>
            </w:tcBorders>
            <w:vAlign w:val="center"/>
          </w:tcPr>
          <w:p w:rsidR="00F52A8B" w:rsidRPr="00303391" w:rsidP="00F12729">
            <w:r w:rsidRPr="00303391">
              <w:rPr>
                <w:rFonts w:ascii="Arial" w:eastAsia="Arial" w:hAnsi="Arial" w:cs="Arial"/>
                <w:color w:val="000000" w:themeColor="text1"/>
                <w:lang w:val="en-US"/>
              </w:rPr>
              <w:t xml:space="preserve">Establish a shared performance management system </w:t>
            </w:r>
          </w:p>
        </w:tc>
        <w:tc>
          <w:tcPr>
            <w:tcW w:w="6030" w:type="dxa"/>
            <w:tcBorders>
              <w:top w:val="single" w:sz="8" w:space="0" w:color="auto"/>
              <w:left w:val="single" w:sz="8" w:space="0" w:color="auto"/>
              <w:bottom w:val="single" w:sz="8" w:space="0" w:color="auto"/>
              <w:right w:val="single" w:sz="8" w:space="0" w:color="auto"/>
            </w:tcBorders>
            <w:vAlign w:val="center"/>
          </w:tcPr>
          <w:p w:rsidR="00F52A8B" w:rsidRPr="00303391" w:rsidP="00F12729">
            <w:pPr>
              <w:rPr>
                <w:rFonts w:ascii="Arial" w:eastAsia="Arial" w:hAnsi="Arial" w:cs="Arial"/>
                <w:lang w:val="en-US"/>
              </w:rPr>
            </w:pPr>
            <w:r w:rsidRPr="00303391">
              <w:rPr>
                <w:rFonts w:ascii="Arial" w:eastAsia="Arial" w:hAnsi="Arial" w:cs="Arial"/>
                <w:lang w:val="en-US"/>
              </w:rPr>
              <w:t>Complete</w:t>
            </w:r>
            <w:r>
              <w:rPr>
                <w:rFonts w:ascii="Arial" w:eastAsia="Arial" w:hAnsi="Arial" w:cs="Arial"/>
                <w:lang w:val="en-US"/>
              </w:rPr>
              <w:t xml:space="preserve"> – a new performance management framework has been developed and adopted as part of strengthening the council’s governance arrangements.</w:t>
            </w:r>
          </w:p>
        </w:tc>
      </w:tr>
      <w:tr w:rsidTr="00F12729">
        <w:tblPrEx>
          <w:tblW w:w="0" w:type="auto"/>
          <w:tblLayout w:type="fixed"/>
          <w:tblLook w:val="04A0"/>
        </w:tblPrEx>
        <w:tc>
          <w:tcPr>
            <w:tcW w:w="2970" w:type="dxa"/>
            <w:tcBorders>
              <w:top w:val="single" w:sz="8" w:space="0" w:color="auto"/>
              <w:left w:val="single" w:sz="8" w:space="0" w:color="auto"/>
              <w:bottom w:val="single" w:sz="8" w:space="0" w:color="auto"/>
              <w:right w:val="single" w:sz="8" w:space="0" w:color="auto"/>
            </w:tcBorders>
            <w:vAlign w:val="center"/>
          </w:tcPr>
          <w:p w:rsidR="00F52A8B" w:rsidRPr="00303391" w:rsidP="00F12729">
            <w:r w:rsidRPr="00303391">
              <w:rPr>
                <w:rFonts w:ascii="Arial" w:eastAsia="Arial" w:hAnsi="Arial" w:cs="Arial"/>
                <w:color w:val="000000" w:themeColor="text1"/>
                <w:lang w:val="en-US"/>
              </w:rPr>
              <w:t xml:space="preserve">Review and refresh of Equality Scheme </w:t>
            </w:r>
          </w:p>
        </w:tc>
        <w:tc>
          <w:tcPr>
            <w:tcW w:w="6030" w:type="dxa"/>
            <w:tcBorders>
              <w:top w:val="single" w:sz="8" w:space="0" w:color="auto"/>
              <w:left w:val="single" w:sz="8" w:space="0" w:color="auto"/>
              <w:bottom w:val="single" w:sz="8" w:space="0" w:color="auto"/>
              <w:right w:val="single" w:sz="8" w:space="0" w:color="auto"/>
            </w:tcBorders>
            <w:vAlign w:val="center"/>
          </w:tcPr>
          <w:p w:rsidR="00F52A8B" w:rsidRPr="00303391" w:rsidP="00F12729">
            <w:pPr>
              <w:rPr>
                <w:rFonts w:ascii="Arial" w:eastAsia="Arial" w:hAnsi="Arial" w:cs="Arial"/>
                <w:lang w:val="en-US"/>
              </w:rPr>
            </w:pPr>
            <w:r w:rsidRPr="00303391">
              <w:rPr>
                <w:rFonts w:ascii="Arial" w:eastAsia="Arial" w:hAnsi="Arial" w:cs="Arial"/>
                <w:lang w:val="en-US"/>
              </w:rPr>
              <w:t>In progress – draft produced for consultation and sign off</w:t>
            </w:r>
          </w:p>
        </w:tc>
      </w:tr>
      <w:tr w:rsidTr="00F12729">
        <w:tblPrEx>
          <w:tblW w:w="0" w:type="auto"/>
          <w:tblLayout w:type="fixed"/>
          <w:tblLook w:val="04A0"/>
        </w:tblPrEx>
        <w:tc>
          <w:tcPr>
            <w:tcW w:w="2970" w:type="dxa"/>
            <w:tcBorders>
              <w:top w:val="single" w:sz="8" w:space="0" w:color="auto"/>
              <w:left w:val="single" w:sz="8" w:space="0" w:color="auto"/>
              <w:bottom w:val="single" w:sz="8" w:space="0" w:color="auto"/>
              <w:right w:val="single" w:sz="8" w:space="0" w:color="auto"/>
            </w:tcBorders>
            <w:vAlign w:val="center"/>
          </w:tcPr>
          <w:p w:rsidR="00F52A8B" w:rsidRPr="00303391" w:rsidP="00F12729">
            <w:r w:rsidRPr="00303391">
              <w:rPr>
                <w:rFonts w:ascii="Arial" w:eastAsia="Arial" w:hAnsi="Arial" w:cs="Arial"/>
                <w:color w:val="000000" w:themeColor="text1"/>
              </w:rPr>
              <w:t>Shared services per</w:t>
            </w:r>
            <w:r w:rsidRPr="00303391">
              <w:rPr>
                <w:rFonts w:ascii="Arial" w:eastAsia="Arial" w:hAnsi="Arial" w:cs="Arial"/>
                <w:color w:val="000000" w:themeColor="text1"/>
              </w:rPr>
              <w:t xml:space="preserve">formance monitoring approach </w:t>
            </w:r>
          </w:p>
        </w:tc>
        <w:tc>
          <w:tcPr>
            <w:tcW w:w="6030" w:type="dxa"/>
            <w:tcBorders>
              <w:top w:val="single" w:sz="8" w:space="0" w:color="auto"/>
              <w:left w:val="single" w:sz="8" w:space="0" w:color="auto"/>
              <w:bottom w:val="single" w:sz="8" w:space="0" w:color="auto"/>
              <w:right w:val="single" w:sz="8" w:space="0" w:color="auto"/>
            </w:tcBorders>
            <w:vAlign w:val="center"/>
          </w:tcPr>
          <w:p w:rsidR="00F52A8B" w:rsidRPr="00303391" w:rsidP="00F12729">
            <w:pPr>
              <w:rPr>
                <w:rFonts w:ascii="Arial" w:eastAsia="Arial" w:hAnsi="Arial" w:cs="Arial"/>
                <w:lang w:val="en-US"/>
              </w:rPr>
            </w:pPr>
            <w:r>
              <w:rPr>
                <w:rFonts w:ascii="Arial" w:eastAsia="Arial" w:hAnsi="Arial" w:cs="Arial"/>
                <w:lang w:val="en-US"/>
              </w:rPr>
              <w:t>The action focused on developing an approach to monitoring the performance of the shared services relationship with Chorley Council. An approach has been developed and monitoring presented to the shared services joint committe</w:t>
            </w:r>
            <w:r>
              <w:rPr>
                <w:rFonts w:ascii="Arial" w:eastAsia="Arial" w:hAnsi="Arial" w:cs="Arial"/>
                <w:lang w:val="en-US"/>
              </w:rPr>
              <w:t>e. Based on recent feedback, the approach has been further refined and will be presented to the next committee meeting.</w:t>
            </w:r>
          </w:p>
        </w:tc>
      </w:tr>
      <w:tr w:rsidTr="00F12729">
        <w:tblPrEx>
          <w:tblW w:w="0" w:type="auto"/>
          <w:tblLayout w:type="fixed"/>
          <w:tblLook w:val="04A0"/>
        </w:tblPrEx>
        <w:tc>
          <w:tcPr>
            <w:tcW w:w="2970" w:type="dxa"/>
            <w:tcBorders>
              <w:top w:val="single" w:sz="8" w:space="0" w:color="auto"/>
              <w:left w:val="single" w:sz="8" w:space="0" w:color="auto"/>
              <w:bottom w:val="single" w:sz="8" w:space="0" w:color="auto"/>
              <w:right w:val="single" w:sz="8" w:space="0" w:color="auto"/>
            </w:tcBorders>
            <w:vAlign w:val="center"/>
          </w:tcPr>
          <w:p w:rsidR="00F52A8B" w:rsidRPr="00303391" w:rsidP="00F12729">
            <w:r w:rsidRPr="00303391">
              <w:rPr>
                <w:rFonts w:ascii="Arial" w:eastAsia="Arial" w:hAnsi="Arial" w:cs="Arial"/>
                <w:color w:val="000000" w:themeColor="text1"/>
              </w:rPr>
              <w:t xml:space="preserve">Management development programme </w:t>
            </w:r>
          </w:p>
        </w:tc>
        <w:tc>
          <w:tcPr>
            <w:tcW w:w="6030" w:type="dxa"/>
            <w:tcBorders>
              <w:top w:val="single" w:sz="8" w:space="0" w:color="auto"/>
              <w:left w:val="single" w:sz="8" w:space="0" w:color="auto"/>
              <w:bottom w:val="single" w:sz="8" w:space="0" w:color="auto"/>
              <w:right w:val="single" w:sz="8" w:space="0" w:color="auto"/>
            </w:tcBorders>
            <w:vAlign w:val="center"/>
          </w:tcPr>
          <w:p w:rsidR="00F52A8B" w:rsidRPr="00303391" w:rsidP="00F12729">
            <w:pPr>
              <w:rPr>
                <w:rFonts w:ascii="Arial" w:eastAsia="Arial" w:hAnsi="Arial" w:cs="Arial"/>
                <w:lang w:val="en-US"/>
              </w:rPr>
            </w:pPr>
            <w:r>
              <w:rPr>
                <w:rFonts w:ascii="Arial" w:eastAsia="Arial" w:hAnsi="Arial" w:cs="Arial"/>
                <w:lang w:val="en-US"/>
              </w:rPr>
              <w:t>This action is on track, with a new Passport to People Management programme. The programme will suppo</w:t>
            </w:r>
            <w:r>
              <w:rPr>
                <w:rFonts w:ascii="Arial" w:eastAsia="Arial" w:hAnsi="Arial" w:cs="Arial"/>
                <w:lang w:val="en-US"/>
              </w:rPr>
              <w:t xml:space="preserve">rt managers to effectively manage teams and understand their role in managing the organization. </w:t>
            </w:r>
          </w:p>
        </w:tc>
      </w:tr>
      <w:tr w:rsidTr="00F12729">
        <w:tblPrEx>
          <w:tblW w:w="0" w:type="auto"/>
          <w:tblLayout w:type="fixed"/>
          <w:tblLook w:val="04A0"/>
        </w:tblPrEx>
        <w:tc>
          <w:tcPr>
            <w:tcW w:w="2970" w:type="dxa"/>
            <w:tcBorders>
              <w:top w:val="single" w:sz="8" w:space="0" w:color="auto"/>
              <w:left w:val="single" w:sz="8" w:space="0" w:color="auto"/>
              <w:bottom w:val="single" w:sz="8" w:space="0" w:color="auto"/>
              <w:right w:val="single" w:sz="8" w:space="0" w:color="auto"/>
            </w:tcBorders>
            <w:vAlign w:val="center"/>
          </w:tcPr>
          <w:p w:rsidR="00F52A8B" w:rsidRPr="00303391" w:rsidP="00F12729">
            <w:r w:rsidRPr="00303391">
              <w:rPr>
                <w:rFonts w:ascii="Arial" w:eastAsia="Arial" w:hAnsi="Arial" w:cs="Arial"/>
                <w:color w:val="000000" w:themeColor="text1"/>
                <w:lang w:val="en-US"/>
              </w:rPr>
              <w:t xml:space="preserve">Work with partners to design and deliver more sustainable public services </w:t>
            </w:r>
          </w:p>
        </w:tc>
        <w:tc>
          <w:tcPr>
            <w:tcW w:w="6030" w:type="dxa"/>
            <w:tcBorders>
              <w:top w:val="single" w:sz="8" w:space="0" w:color="auto"/>
              <w:left w:val="single" w:sz="8" w:space="0" w:color="auto"/>
              <w:bottom w:val="single" w:sz="8" w:space="0" w:color="auto"/>
              <w:right w:val="single" w:sz="8" w:space="0" w:color="auto"/>
            </w:tcBorders>
            <w:vAlign w:val="center"/>
          </w:tcPr>
          <w:p w:rsidR="00F52A8B" w:rsidRPr="00303391" w:rsidP="00F12729">
            <w:pPr>
              <w:rPr>
                <w:rFonts w:ascii="Arial" w:eastAsia="Arial" w:hAnsi="Arial" w:cs="Arial"/>
                <w:lang w:val="en-US"/>
              </w:rPr>
            </w:pPr>
            <w:r>
              <w:rPr>
                <w:rFonts w:ascii="Arial" w:eastAsia="Arial" w:hAnsi="Arial" w:cs="Arial"/>
                <w:lang w:val="en-US"/>
              </w:rPr>
              <w:t>This action is on track. A strategy has been been agreed with partners and an econo</w:t>
            </w:r>
            <w:r>
              <w:rPr>
                <w:rFonts w:ascii="Arial" w:eastAsia="Arial" w:hAnsi="Arial" w:cs="Arial"/>
                <w:lang w:val="en-US"/>
              </w:rPr>
              <w:t xml:space="preserve">mic summit held in November </w:t>
            </w:r>
            <w:r w:rsidRPr="00303391">
              <w:rPr>
                <w:rFonts w:ascii="Arial" w:eastAsia="Arial" w:hAnsi="Arial" w:cs="Arial"/>
                <w:lang w:val="en-US"/>
              </w:rPr>
              <w:t>to shape future approach to economic recovery and reform.</w:t>
            </w:r>
          </w:p>
        </w:tc>
      </w:tr>
      <w:tr w:rsidTr="00F12729">
        <w:tblPrEx>
          <w:tblW w:w="0" w:type="auto"/>
          <w:tblLayout w:type="fixed"/>
          <w:tblLook w:val="04A0"/>
        </w:tblPrEx>
        <w:tc>
          <w:tcPr>
            <w:tcW w:w="2970" w:type="dxa"/>
            <w:tcBorders>
              <w:top w:val="single" w:sz="8" w:space="0" w:color="auto"/>
              <w:left w:val="single" w:sz="8" w:space="0" w:color="auto"/>
              <w:bottom w:val="single" w:sz="8" w:space="0" w:color="auto"/>
              <w:right w:val="single" w:sz="8" w:space="0" w:color="auto"/>
            </w:tcBorders>
            <w:vAlign w:val="center"/>
          </w:tcPr>
          <w:p w:rsidR="00F52A8B" w:rsidRPr="00303391" w:rsidP="00F12729">
            <w:r w:rsidRPr="00303391">
              <w:rPr>
                <w:rFonts w:ascii="Arial" w:eastAsia="Arial" w:hAnsi="Arial" w:cs="Arial"/>
                <w:color w:val="000000" w:themeColor="text1"/>
              </w:rPr>
              <w:t>Deliver phase 2 of shared services</w:t>
            </w:r>
          </w:p>
        </w:tc>
        <w:tc>
          <w:tcPr>
            <w:tcW w:w="6030" w:type="dxa"/>
            <w:tcBorders>
              <w:top w:val="single" w:sz="8" w:space="0" w:color="auto"/>
              <w:left w:val="single" w:sz="8" w:space="0" w:color="auto"/>
              <w:bottom w:val="single" w:sz="8" w:space="0" w:color="auto"/>
              <w:right w:val="single" w:sz="8" w:space="0" w:color="auto"/>
            </w:tcBorders>
            <w:vAlign w:val="center"/>
          </w:tcPr>
          <w:p w:rsidR="00F52A8B" w:rsidRPr="00303391" w:rsidP="00F12729">
            <w:pPr>
              <w:rPr>
                <w:rFonts w:ascii="Arial" w:eastAsia="Arial" w:hAnsi="Arial" w:cs="Arial"/>
                <w:lang w:val="en-US"/>
              </w:rPr>
            </w:pPr>
            <w:r>
              <w:rPr>
                <w:rFonts w:ascii="Arial" w:eastAsia="Arial" w:hAnsi="Arial" w:cs="Arial"/>
                <w:lang w:val="en-US"/>
              </w:rPr>
              <w:t>This work is nearing completion. The action within the business plan focused on the work required from Transformation and Partnerships</w:t>
            </w:r>
            <w:r>
              <w:rPr>
                <w:rFonts w:ascii="Arial" w:eastAsia="Arial" w:hAnsi="Arial" w:cs="Arial"/>
                <w:lang w:val="en-US"/>
              </w:rPr>
              <w:t xml:space="preserve"> to support the reviews for ICT and Customer Services. Those reviews have been completed and presented to the shared services joint committee.</w:t>
            </w:r>
          </w:p>
        </w:tc>
      </w:tr>
      <w:tr w:rsidTr="00F12729">
        <w:tblPrEx>
          <w:tblW w:w="0" w:type="auto"/>
          <w:tblLayout w:type="fixed"/>
          <w:tblLook w:val="04A0"/>
        </w:tblPrEx>
        <w:tc>
          <w:tcPr>
            <w:tcW w:w="2970" w:type="dxa"/>
            <w:tcBorders>
              <w:top w:val="single" w:sz="8" w:space="0" w:color="auto"/>
              <w:left w:val="single" w:sz="8" w:space="0" w:color="auto"/>
              <w:bottom w:val="single" w:sz="8" w:space="0" w:color="auto"/>
              <w:right w:val="single" w:sz="8" w:space="0" w:color="auto"/>
            </w:tcBorders>
            <w:vAlign w:val="center"/>
          </w:tcPr>
          <w:p w:rsidR="00F52A8B" w:rsidRPr="00303391" w:rsidP="00F12729">
            <w:r w:rsidRPr="00303391">
              <w:rPr>
                <w:rFonts w:ascii="Arial" w:eastAsia="Arial" w:hAnsi="Arial" w:cs="Arial"/>
                <w:color w:val="000000" w:themeColor="text1"/>
                <w:lang w:val="en-US"/>
              </w:rPr>
              <w:t>Resident survey South Ribble</w:t>
            </w:r>
          </w:p>
        </w:tc>
        <w:tc>
          <w:tcPr>
            <w:tcW w:w="6030" w:type="dxa"/>
            <w:tcBorders>
              <w:top w:val="single" w:sz="8" w:space="0" w:color="auto"/>
              <w:left w:val="single" w:sz="8" w:space="0" w:color="auto"/>
              <w:bottom w:val="single" w:sz="8" w:space="0" w:color="auto"/>
              <w:right w:val="single" w:sz="8" w:space="0" w:color="auto"/>
            </w:tcBorders>
            <w:vAlign w:val="center"/>
          </w:tcPr>
          <w:p w:rsidR="00F52A8B" w:rsidRPr="00303391" w:rsidP="00F12729">
            <w:pPr>
              <w:rPr>
                <w:rFonts w:ascii="Arial" w:eastAsia="Arial" w:hAnsi="Arial" w:cs="Arial"/>
                <w:lang w:val="en-US"/>
              </w:rPr>
            </w:pPr>
            <w:r>
              <w:rPr>
                <w:rFonts w:ascii="Arial" w:eastAsia="Arial" w:hAnsi="Arial" w:cs="Arial"/>
                <w:lang w:val="en-US"/>
              </w:rPr>
              <w:t>The survey fieldwork has completed, with the results now being collated and analyse</w:t>
            </w:r>
            <w:r>
              <w:rPr>
                <w:rFonts w:ascii="Arial" w:eastAsia="Arial" w:hAnsi="Arial" w:cs="Arial"/>
                <w:lang w:val="en-US"/>
              </w:rPr>
              <w:t>d by the company commissioned to do the work. The results will be reported once received.</w:t>
            </w:r>
          </w:p>
        </w:tc>
      </w:tr>
      <w:tr w:rsidTr="00F12729">
        <w:tblPrEx>
          <w:tblW w:w="0" w:type="auto"/>
          <w:tblLayout w:type="fixed"/>
          <w:tblLook w:val="04A0"/>
        </w:tblPrEx>
        <w:tc>
          <w:tcPr>
            <w:tcW w:w="2970" w:type="dxa"/>
            <w:tcBorders>
              <w:top w:val="single" w:sz="8" w:space="0" w:color="auto"/>
              <w:left w:val="single" w:sz="8" w:space="0" w:color="auto"/>
              <w:bottom w:val="single" w:sz="8" w:space="0" w:color="auto"/>
              <w:right w:val="single" w:sz="8" w:space="0" w:color="auto"/>
            </w:tcBorders>
            <w:vAlign w:val="center"/>
          </w:tcPr>
          <w:p w:rsidR="00F52A8B" w:rsidRPr="00303391" w:rsidP="00F12729">
            <w:r w:rsidRPr="00303391">
              <w:rPr>
                <w:rFonts w:ascii="Arial" w:eastAsia="Arial" w:hAnsi="Arial" w:cs="Arial"/>
                <w:color w:val="000000" w:themeColor="text1"/>
              </w:rPr>
              <w:t>Review of recruitment, selection and onboarding</w:t>
            </w:r>
          </w:p>
        </w:tc>
        <w:tc>
          <w:tcPr>
            <w:tcW w:w="6030" w:type="dxa"/>
            <w:tcBorders>
              <w:top w:val="single" w:sz="8" w:space="0" w:color="auto"/>
              <w:left w:val="single" w:sz="8" w:space="0" w:color="auto"/>
              <w:bottom w:val="single" w:sz="8" w:space="0" w:color="auto"/>
              <w:right w:val="single" w:sz="8" w:space="0" w:color="auto"/>
            </w:tcBorders>
            <w:vAlign w:val="center"/>
          </w:tcPr>
          <w:p w:rsidR="00F52A8B" w:rsidRPr="00303391" w:rsidP="00F12729">
            <w:pPr>
              <w:rPr>
                <w:rFonts w:ascii="Arial" w:eastAsia="Arial" w:hAnsi="Arial" w:cs="Arial"/>
                <w:lang w:val="en-US"/>
              </w:rPr>
            </w:pPr>
            <w:r w:rsidRPr="00303391">
              <w:rPr>
                <w:rFonts w:ascii="Arial" w:eastAsia="Arial" w:hAnsi="Arial" w:cs="Arial"/>
                <w:lang w:val="en-US"/>
              </w:rPr>
              <w:t xml:space="preserve">Green – review complete and new recruitment experience developed including new application platform.  </w:t>
            </w:r>
            <w:r w:rsidRPr="00303391">
              <w:rPr>
                <w:rFonts w:ascii="Arial" w:eastAsia="Arial" w:hAnsi="Arial" w:cs="Arial"/>
                <w:lang w:val="en-US"/>
              </w:rPr>
              <w:t>Onboarding to be reviewed early 2022</w:t>
            </w:r>
          </w:p>
        </w:tc>
      </w:tr>
      <w:tr w:rsidTr="00F12729">
        <w:tblPrEx>
          <w:tblW w:w="0" w:type="auto"/>
          <w:tblLayout w:type="fixed"/>
          <w:tblLook w:val="04A0"/>
        </w:tblPrEx>
        <w:tc>
          <w:tcPr>
            <w:tcW w:w="2970" w:type="dxa"/>
            <w:tcBorders>
              <w:top w:val="single" w:sz="8" w:space="0" w:color="auto"/>
              <w:left w:val="single" w:sz="8" w:space="0" w:color="auto"/>
              <w:bottom w:val="single" w:sz="8" w:space="0" w:color="auto"/>
              <w:right w:val="single" w:sz="8" w:space="0" w:color="auto"/>
            </w:tcBorders>
            <w:vAlign w:val="center"/>
          </w:tcPr>
          <w:p w:rsidR="00F52A8B" w:rsidRPr="00303391" w:rsidP="00F12729">
            <w:r w:rsidRPr="00303391">
              <w:rPr>
                <w:rFonts w:ascii="Arial" w:eastAsia="Arial" w:hAnsi="Arial" w:cs="Arial"/>
                <w:color w:val="000000" w:themeColor="text1"/>
                <w:lang w:val="en-US"/>
              </w:rPr>
              <w:t xml:space="preserve">Embed performance process and culture – aligning key processes across both Councils </w:t>
            </w:r>
          </w:p>
        </w:tc>
        <w:tc>
          <w:tcPr>
            <w:tcW w:w="6030" w:type="dxa"/>
            <w:tcBorders>
              <w:top w:val="single" w:sz="8" w:space="0" w:color="auto"/>
              <w:left w:val="single" w:sz="8" w:space="0" w:color="auto"/>
              <w:bottom w:val="single" w:sz="8" w:space="0" w:color="auto"/>
              <w:right w:val="single" w:sz="8" w:space="0" w:color="auto"/>
            </w:tcBorders>
            <w:vAlign w:val="center"/>
          </w:tcPr>
          <w:p w:rsidR="00F52A8B" w:rsidRPr="00303391" w:rsidP="00F12729">
            <w:pPr>
              <w:rPr>
                <w:rFonts w:ascii="Arial" w:eastAsia="Arial" w:hAnsi="Arial" w:cs="Arial"/>
                <w:lang w:val="en-US"/>
              </w:rPr>
            </w:pPr>
            <w:r w:rsidRPr="00303391">
              <w:rPr>
                <w:rFonts w:ascii="Arial" w:eastAsia="Arial" w:hAnsi="Arial" w:cs="Arial"/>
                <w:lang w:val="en-US"/>
              </w:rPr>
              <w:t xml:space="preserve">Green – ongoing support for application of performance management framework, use of performance management system, staff </w:t>
            </w:r>
            <w:r w:rsidRPr="00303391">
              <w:rPr>
                <w:rFonts w:ascii="Arial" w:eastAsia="Arial" w:hAnsi="Arial" w:cs="Arial"/>
                <w:lang w:val="en-US"/>
              </w:rPr>
              <w:t>training and performance network</w:t>
            </w:r>
          </w:p>
        </w:tc>
      </w:tr>
      <w:tr w:rsidTr="00F12729">
        <w:tblPrEx>
          <w:tblW w:w="0" w:type="auto"/>
          <w:tblLayout w:type="fixed"/>
          <w:tblLook w:val="04A0"/>
        </w:tblPrEx>
        <w:tc>
          <w:tcPr>
            <w:tcW w:w="2970" w:type="dxa"/>
            <w:tcBorders>
              <w:top w:val="single" w:sz="8" w:space="0" w:color="auto"/>
              <w:left w:val="single" w:sz="8" w:space="0" w:color="auto"/>
              <w:bottom w:val="single" w:sz="8" w:space="0" w:color="auto"/>
              <w:right w:val="single" w:sz="8" w:space="0" w:color="auto"/>
            </w:tcBorders>
            <w:vAlign w:val="center"/>
          </w:tcPr>
          <w:p w:rsidR="00F52A8B" w:rsidRPr="00303391" w:rsidP="00F12729">
            <w:r w:rsidRPr="00303391">
              <w:rPr>
                <w:rFonts w:ascii="Arial" w:eastAsia="Arial" w:hAnsi="Arial" w:cs="Arial"/>
                <w:color w:val="000000" w:themeColor="text1"/>
              </w:rPr>
              <w:t xml:space="preserve">HR Transformation Project </w:t>
            </w:r>
          </w:p>
        </w:tc>
        <w:tc>
          <w:tcPr>
            <w:tcW w:w="6030" w:type="dxa"/>
            <w:tcBorders>
              <w:top w:val="single" w:sz="8" w:space="0" w:color="auto"/>
              <w:left w:val="single" w:sz="8" w:space="0" w:color="auto"/>
              <w:bottom w:val="single" w:sz="8" w:space="0" w:color="auto"/>
              <w:right w:val="single" w:sz="8" w:space="0" w:color="auto"/>
            </w:tcBorders>
            <w:vAlign w:val="center"/>
          </w:tcPr>
          <w:p w:rsidR="00F52A8B" w:rsidRPr="00303391" w:rsidP="00F12729">
            <w:pPr>
              <w:rPr>
                <w:rFonts w:ascii="Arial" w:eastAsia="Arial" w:hAnsi="Arial" w:cs="Arial"/>
                <w:lang w:val="en-US"/>
              </w:rPr>
            </w:pPr>
            <w:r>
              <w:rPr>
                <w:rFonts w:ascii="Arial" w:eastAsia="Arial" w:hAnsi="Arial" w:cs="Arial"/>
                <w:lang w:val="en-US"/>
              </w:rPr>
              <w:t>This project is on track, with the council’s payroll services due to switch to Blackpool Council from April 2022. The council’s HR system will also change as part of this project .</w:t>
            </w:r>
          </w:p>
        </w:tc>
      </w:tr>
      <w:tr w:rsidTr="00F12729">
        <w:tblPrEx>
          <w:tblW w:w="0" w:type="auto"/>
          <w:tblLayout w:type="fixed"/>
          <w:tblLook w:val="04A0"/>
        </w:tblPrEx>
        <w:tc>
          <w:tcPr>
            <w:tcW w:w="2970" w:type="dxa"/>
            <w:tcBorders>
              <w:top w:val="single" w:sz="8" w:space="0" w:color="auto"/>
              <w:left w:val="single" w:sz="8" w:space="0" w:color="auto"/>
              <w:bottom w:val="single" w:sz="8" w:space="0" w:color="auto"/>
              <w:right w:val="single" w:sz="8" w:space="0" w:color="auto"/>
            </w:tcBorders>
            <w:vAlign w:val="center"/>
          </w:tcPr>
          <w:p w:rsidR="00F52A8B" w:rsidRPr="00303391" w:rsidP="00F12729">
            <w:r w:rsidRPr="00303391">
              <w:rPr>
                <w:rFonts w:ascii="Arial" w:eastAsia="Arial" w:hAnsi="Arial" w:cs="Arial"/>
                <w:color w:val="000000" w:themeColor="text1"/>
              </w:rPr>
              <w:t>Deliver the O</w:t>
            </w:r>
            <w:r w:rsidRPr="00303391">
              <w:rPr>
                <w:rFonts w:ascii="Arial" w:eastAsia="Arial" w:hAnsi="Arial" w:cs="Arial"/>
                <w:color w:val="000000" w:themeColor="text1"/>
              </w:rPr>
              <w:t>D Strategies and staff survey</w:t>
            </w:r>
          </w:p>
        </w:tc>
        <w:tc>
          <w:tcPr>
            <w:tcW w:w="6030" w:type="dxa"/>
            <w:tcBorders>
              <w:top w:val="single" w:sz="8" w:space="0" w:color="auto"/>
              <w:left w:val="single" w:sz="8" w:space="0" w:color="auto"/>
              <w:bottom w:val="single" w:sz="8" w:space="0" w:color="auto"/>
              <w:right w:val="single" w:sz="8" w:space="0" w:color="auto"/>
            </w:tcBorders>
            <w:vAlign w:val="center"/>
          </w:tcPr>
          <w:p w:rsidR="00F52A8B" w:rsidRPr="00303391" w:rsidP="00F12729">
            <w:pPr>
              <w:rPr>
                <w:rFonts w:ascii="Arial" w:eastAsia="Arial" w:hAnsi="Arial" w:cs="Arial"/>
                <w:lang w:val="en-US"/>
              </w:rPr>
            </w:pPr>
            <w:r w:rsidRPr="00303391">
              <w:rPr>
                <w:rFonts w:ascii="Arial" w:eastAsia="Arial" w:hAnsi="Arial" w:cs="Arial"/>
                <w:lang w:val="en-US"/>
              </w:rPr>
              <w:t>Green - in progress with staff survey headlines to be available early 2022</w:t>
            </w:r>
          </w:p>
        </w:tc>
      </w:tr>
    </w:tbl>
    <w:p w:rsidR="00F52A8B" w:rsidP="00F52A8B">
      <w:r w:rsidRPr="72C41A2D">
        <w:rPr>
          <w:rFonts w:ascii="Segoe UI" w:eastAsia="Segoe UI" w:hAnsi="Segoe UI" w:cs="Segoe UI"/>
          <w:sz w:val="18"/>
          <w:szCs w:val="18"/>
        </w:rPr>
        <w:t xml:space="preserve"> </w:t>
      </w:r>
    </w:p>
    <w:p w:rsidR="00F52A8B" w:rsidP="00F52A8B">
      <w:pPr>
        <w:pStyle w:val="ListParagraph"/>
        <w:numPr>
          <w:ilvl w:val="0"/>
          <w:numId w:val="11"/>
        </w:numPr>
        <w:rPr>
          <w:rFonts w:eastAsiaTheme="minorEastAsia"/>
        </w:rPr>
      </w:pPr>
      <w:r w:rsidRPr="72C41A2D">
        <w:rPr>
          <w:rFonts w:ascii="Arial" w:eastAsia="Arial" w:hAnsi="Arial" w:cs="Arial"/>
        </w:rPr>
        <w:t xml:space="preserve">The team also monitors performance indicators to assess service performance. The latest position is set out below. </w:t>
      </w:r>
    </w:p>
    <w:p w:rsidR="00F52A8B" w:rsidP="00F52A8B">
      <w:r w:rsidRPr="72C41A2D">
        <w:rPr>
          <w:rFonts w:ascii="Arial" w:eastAsia="Arial" w:hAnsi="Arial" w:cs="Arial"/>
        </w:rPr>
        <w:t xml:space="preserve"> </w:t>
      </w:r>
    </w:p>
    <w:tbl>
      <w:tblPr>
        <w:tblW w:w="10196" w:type="dxa"/>
        <w:tblLayout w:type="fixed"/>
        <w:tblLook w:val="04A0"/>
      </w:tblPr>
      <w:tblGrid>
        <w:gridCol w:w="5802"/>
        <w:gridCol w:w="1559"/>
        <w:gridCol w:w="2835"/>
      </w:tblGrid>
      <w:tr w:rsidTr="00F12729">
        <w:tblPrEx>
          <w:tblW w:w="10196" w:type="dxa"/>
          <w:tblLayout w:type="fixed"/>
          <w:tblLook w:val="04A0"/>
        </w:tblPrEx>
        <w:tc>
          <w:tcPr>
            <w:tcW w:w="5802" w:type="dxa"/>
            <w:tcBorders>
              <w:top w:val="single" w:sz="8" w:space="0" w:color="auto"/>
              <w:left w:val="single" w:sz="8" w:space="0" w:color="auto"/>
              <w:bottom w:val="single" w:sz="8" w:space="0" w:color="auto"/>
              <w:right w:val="single" w:sz="8" w:space="0" w:color="auto"/>
            </w:tcBorders>
          </w:tcPr>
          <w:p w:rsidR="00F52A8B" w:rsidP="00F12729">
            <w:r w:rsidRPr="72C41A2D">
              <w:rPr>
                <w:rFonts w:ascii="Arial" w:eastAsia="Arial" w:hAnsi="Arial" w:cs="Arial"/>
                <w:b/>
                <w:bCs/>
              </w:rPr>
              <w:t>Key indicator</w:t>
            </w:r>
            <w:r w:rsidRPr="72C41A2D">
              <w:rPr>
                <w:rFonts w:ascii="Arial" w:eastAsia="Arial" w:hAnsi="Arial" w:cs="Arial"/>
              </w:rPr>
              <w:t xml:space="preserve"> </w:t>
            </w:r>
          </w:p>
        </w:tc>
        <w:tc>
          <w:tcPr>
            <w:tcW w:w="1559" w:type="dxa"/>
            <w:tcBorders>
              <w:top w:val="single" w:sz="8" w:space="0" w:color="auto"/>
              <w:left w:val="single" w:sz="8" w:space="0" w:color="auto"/>
              <w:bottom w:val="single" w:sz="8" w:space="0" w:color="auto"/>
              <w:right w:val="single" w:sz="8" w:space="0" w:color="auto"/>
            </w:tcBorders>
          </w:tcPr>
          <w:p w:rsidR="00F52A8B" w:rsidP="00F12729">
            <w:r w:rsidRPr="72C41A2D">
              <w:rPr>
                <w:rFonts w:ascii="Arial" w:eastAsia="Arial" w:hAnsi="Arial" w:cs="Arial"/>
                <w:b/>
                <w:bCs/>
              </w:rPr>
              <w:t>Target</w:t>
            </w:r>
            <w:r w:rsidRPr="72C41A2D">
              <w:rPr>
                <w:rFonts w:ascii="Arial" w:eastAsia="Arial" w:hAnsi="Arial" w:cs="Arial"/>
              </w:rPr>
              <w:t xml:space="preserve"> </w:t>
            </w:r>
          </w:p>
        </w:tc>
        <w:tc>
          <w:tcPr>
            <w:tcW w:w="2835" w:type="dxa"/>
            <w:tcBorders>
              <w:top w:val="single" w:sz="8" w:space="0" w:color="auto"/>
              <w:left w:val="single" w:sz="8" w:space="0" w:color="auto"/>
              <w:bottom w:val="single" w:sz="8" w:space="0" w:color="auto"/>
              <w:right w:val="single" w:sz="8" w:space="0" w:color="auto"/>
            </w:tcBorders>
          </w:tcPr>
          <w:p w:rsidR="00F52A8B" w:rsidP="00F12729">
            <w:r w:rsidRPr="72C41A2D">
              <w:rPr>
                <w:rFonts w:ascii="Arial" w:eastAsia="Arial" w:hAnsi="Arial" w:cs="Arial"/>
                <w:b/>
                <w:bCs/>
              </w:rPr>
              <w:t xml:space="preserve">Latest </w:t>
            </w:r>
            <w:r w:rsidRPr="72C41A2D">
              <w:rPr>
                <w:rFonts w:ascii="Arial" w:eastAsia="Arial" w:hAnsi="Arial" w:cs="Arial"/>
                <w:b/>
                <w:bCs/>
              </w:rPr>
              <w:t>performance</w:t>
            </w:r>
            <w:r w:rsidRPr="72C41A2D">
              <w:rPr>
                <w:rFonts w:ascii="Arial" w:eastAsia="Arial" w:hAnsi="Arial" w:cs="Arial"/>
              </w:rPr>
              <w:t xml:space="preserve"> </w:t>
            </w:r>
          </w:p>
        </w:tc>
      </w:tr>
      <w:tr w:rsidTr="00F12729">
        <w:tblPrEx>
          <w:tblW w:w="10196" w:type="dxa"/>
          <w:tblLayout w:type="fixed"/>
          <w:tblLook w:val="04A0"/>
        </w:tblPrEx>
        <w:tc>
          <w:tcPr>
            <w:tcW w:w="5802" w:type="dxa"/>
            <w:tcBorders>
              <w:top w:val="single" w:sz="8" w:space="0" w:color="auto"/>
              <w:left w:val="single" w:sz="8" w:space="0" w:color="auto"/>
              <w:bottom w:val="single" w:sz="8" w:space="0" w:color="auto"/>
              <w:right w:val="single" w:sz="8" w:space="0" w:color="auto"/>
            </w:tcBorders>
          </w:tcPr>
          <w:p w:rsidR="00F52A8B" w:rsidRPr="001777CC" w:rsidP="00F12729">
            <w:r w:rsidRPr="001777CC">
              <w:rPr>
                <w:rFonts w:ascii="Arial" w:eastAsia="Arial" w:hAnsi="Arial" w:cs="Arial"/>
              </w:rPr>
              <w:t>% Performance information provided by quarterly deadline</w:t>
            </w:r>
          </w:p>
        </w:tc>
        <w:tc>
          <w:tcPr>
            <w:tcW w:w="1559" w:type="dxa"/>
            <w:tcBorders>
              <w:top w:val="single" w:sz="8" w:space="0" w:color="auto"/>
              <w:left w:val="single" w:sz="8" w:space="0" w:color="auto"/>
              <w:bottom w:val="single" w:sz="8" w:space="0" w:color="auto"/>
              <w:right w:val="single" w:sz="8" w:space="0" w:color="auto"/>
            </w:tcBorders>
            <w:vAlign w:val="center"/>
          </w:tcPr>
          <w:p w:rsidR="00F52A8B" w:rsidRPr="001777CC" w:rsidP="00F12729">
            <w:r w:rsidRPr="001777CC">
              <w:rPr>
                <w:rFonts w:ascii="Arial" w:eastAsia="Arial" w:hAnsi="Arial" w:cs="Arial"/>
                <w:color w:val="000000" w:themeColor="text1"/>
              </w:rPr>
              <w:t>85%</w:t>
            </w:r>
          </w:p>
        </w:tc>
        <w:tc>
          <w:tcPr>
            <w:tcW w:w="2835" w:type="dxa"/>
            <w:tcBorders>
              <w:top w:val="single" w:sz="8" w:space="0" w:color="auto"/>
              <w:left w:val="single" w:sz="8" w:space="0" w:color="auto"/>
              <w:bottom w:val="single" w:sz="8" w:space="0" w:color="auto"/>
              <w:right w:val="single" w:sz="8" w:space="0" w:color="auto"/>
            </w:tcBorders>
            <w:vAlign w:val="center"/>
          </w:tcPr>
          <w:p w:rsidR="00F52A8B" w:rsidRPr="001777CC" w:rsidP="00F12729">
            <w:r w:rsidRPr="001777CC">
              <w:rPr>
                <w:rFonts w:ascii="Arial" w:eastAsia="Arial" w:hAnsi="Arial" w:cs="Arial"/>
              </w:rPr>
              <w:t>37% (Q2 2021/22)</w:t>
            </w:r>
          </w:p>
        </w:tc>
      </w:tr>
      <w:tr w:rsidTr="00F12729">
        <w:tblPrEx>
          <w:tblW w:w="10196" w:type="dxa"/>
          <w:tblLayout w:type="fixed"/>
          <w:tblLook w:val="04A0"/>
        </w:tblPrEx>
        <w:tc>
          <w:tcPr>
            <w:tcW w:w="5802" w:type="dxa"/>
            <w:tcBorders>
              <w:top w:val="single" w:sz="8" w:space="0" w:color="auto"/>
              <w:left w:val="single" w:sz="8" w:space="0" w:color="auto"/>
              <w:bottom w:val="single" w:sz="8" w:space="0" w:color="auto"/>
              <w:right w:val="single" w:sz="8" w:space="0" w:color="auto"/>
            </w:tcBorders>
          </w:tcPr>
          <w:p w:rsidR="00F52A8B" w:rsidRPr="001777CC" w:rsidP="00F12729">
            <w:r w:rsidRPr="001777CC">
              <w:rPr>
                <w:rFonts w:ascii="Arial" w:eastAsia="Arial" w:hAnsi="Arial" w:cs="Arial"/>
              </w:rPr>
              <w:t>% highlight reports received by the quarterly deadline</w:t>
            </w:r>
          </w:p>
        </w:tc>
        <w:tc>
          <w:tcPr>
            <w:tcW w:w="1559" w:type="dxa"/>
            <w:tcBorders>
              <w:top w:val="single" w:sz="8" w:space="0" w:color="auto"/>
              <w:left w:val="single" w:sz="8" w:space="0" w:color="auto"/>
              <w:bottom w:val="single" w:sz="8" w:space="0" w:color="auto"/>
              <w:right w:val="single" w:sz="8" w:space="0" w:color="auto"/>
            </w:tcBorders>
            <w:vAlign w:val="center"/>
          </w:tcPr>
          <w:p w:rsidR="00F52A8B" w:rsidRPr="001777CC" w:rsidP="00F12729">
            <w:r w:rsidRPr="001777CC">
              <w:rPr>
                <w:rFonts w:ascii="Arial" w:eastAsia="Arial" w:hAnsi="Arial" w:cs="Arial"/>
                <w:color w:val="000000" w:themeColor="text1"/>
              </w:rPr>
              <w:t>75%</w:t>
            </w:r>
          </w:p>
        </w:tc>
        <w:tc>
          <w:tcPr>
            <w:tcW w:w="2835" w:type="dxa"/>
            <w:tcBorders>
              <w:top w:val="single" w:sz="8" w:space="0" w:color="auto"/>
              <w:left w:val="single" w:sz="8" w:space="0" w:color="auto"/>
              <w:bottom w:val="single" w:sz="8" w:space="0" w:color="auto"/>
              <w:right w:val="single" w:sz="8" w:space="0" w:color="auto"/>
            </w:tcBorders>
            <w:vAlign w:val="center"/>
          </w:tcPr>
          <w:p w:rsidR="00F52A8B" w:rsidRPr="001777CC" w:rsidP="00F12729">
            <w:r w:rsidRPr="001777CC">
              <w:rPr>
                <w:rFonts w:ascii="Arial" w:eastAsia="Arial" w:hAnsi="Arial" w:cs="Arial"/>
              </w:rPr>
              <w:t>79% (Q2 2021/22)</w:t>
            </w:r>
          </w:p>
        </w:tc>
      </w:tr>
      <w:tr w:rsidTr="00F12729">
        <w:tblPrEx>
          <w:tblW w:w="10196" w:type="dxa"/>
          <w:tblLayout w:type="fixed"/>
          <w:tblLook w:val="04A0"/>
        </w:tblPrEx>
        <w:tc>
          <w:tcPr>
            <w:tcW w:w="5802" w:type="dxa"/>
            <w:tcBorders>
              <w:top w:val="single" w:sz="8" w:space="0" w:color="auto"/>
              <w:left w:val="single" w:sz="8" w:space="0" w:color="auto"/>
              <w:bottom w:val="single" w:sz="8" w:space="0" w:color="auto"/>
              <w:right w:val="single" w:sz="8" w:space="0" w:color="auto"/>
            </w:tcBorders>
          </w:tcPr>
          <w:p w:rsidR="00F52A8B" w:rsidRPr="001777CC" w:rsidP="00F12729">
            <w:r w:rsidRPr="001777CC">
              <w:rPr>
                <w:rFonts w:ascii="Arial" w:eastAsia="Arial" w:hAnsi="Arial" w:cs="Arial"/>
              </w:rPr>
              <w:t>% highlight reports received by the quarterly deadline</w:t>
            </w:r>
          </w:p>
        </w:tc>
        <w:tc>
          <w:tcPr>
            <w:tcW w:w="1559" w:type="dxa"/>
            <w:tcBorders>
              <w:top w:val="single" w:sz="8" w:space="0" w:color="auto"/>
              <w:left w:val="single" w:sz="8" w:space="0" w:color="auto"/>
              <w:bottom w:val="single" w:sz="8" w:space="0" w:color="auto"/>
              <w:right w:val="single" w:sz="8" w:space="0" w:color="auto"/>
            </w:tcBorders>
            <w:vAlign w:val="center"/>
          </w:tcPr>
          <w:p w:rsidR="00F52A8B" w:rsidRPr="001777CC" w:rsidP="00F12729">
            <w:r w:rsidRPr="001777CC">
              <w:rPr>
                <w:rFonts w:ascii="Arial" w:eastAsia="Arial" w:hAnsi="Arial" w:cs="Arial"/>
                <w:color w:val="000000" w:themeColor="text1"/>
              </w:rPr>
              <w:t>75%</w:t>
            </w:r>
          </w:p>
        </w:tc>
        <w:tc>
          <w:tcPr>
            <w:tcW w:w="2835" w:type="dxa"/>
            <w:tcBorders>
              <w:top w:val="single" w:sz="8" w:space="0" w:color="auto"/>
              <w:left w:val="single" w:sz="8" w:space="0" w:color="auto"/>
              <w:bottom w:val="single" w:sz="8" w:space="0" w:color="auto"/>
              <w:right w:val="single" w:sz="8" w:space="0" w:color="auto"/>
            </w:tcBorders>
            <w:vAlign w:val="center"/>
          </w:tcPr>
          <w:p w:rsidR="00F52A8B" w:rsidRPr="001777CC" w:rsidP="00F12729">
            <w:r w:rsidRPr="001777CC">
              <w:rPr>
                <w:rFonts w:ascii="Arial" w:eastAsia="Arial" w:hAnsi="Arial" w:cs="Arial"/>
              </w:rPr>
              <w:t>64% (Q2 2021/22)</w:t>
            </w:r>
          </w:p>
        </w:tc>
      </w:tr>
      <w:tr w:rsidTr="00F12729">
        <w:tblPrEx>
          <w:tblW w:w="10196" w:type="dxa"/>
          <w:tblLayout w:type="fixed"/>
          <w:tblLook w:val="04A0"/>
        </w:tblPrEx>
        <w:tc>
          <w:tcPr>
            <w:tcW w:w="5802" w:type="dxa"/>
            <w:tcBorders>
              <w:top w:val="single" w:sz="8" w:space="0" w:color="auto"/>
              <w:left w:val="single" w:sz="8" w:space="0" w:color="auto"/>
              <w:bottom w:val="single" w:sz="8" w:space="0" w:color="auto"/>
              <w:right w:val="single" w:sz="8" w:space="0" w:color="auto"/>
            </w:tcBorders>
          </w:tcPr>
          <w:p w:rsidR="00F52A8B" w:rsidRPr="001777CC" w:rsidP="00F12729">
            <w:r w:rsidRPr="001777CC">
              <w:rPr>
                <w:rFonts w:ascii="Arial" w:eastAsia="Arial" w:hAnsi="Arial" w:cs="Arial"/>
              </w:rPr>
              <w:t xml:space="preserve">% of </w:t>
            </w:r>
            <w:r w:rsidRPr="001777CC">
              <w:rPr>
                <w:rFonts w:ascii="Arial" w:eastAsia="Arial" w:hAnsi="Arial" w:cs="Arial"/>
              </w:rPr>
              <w:t>service development actions on track (C)</w:t>
            </w:r>
          </w:p>
        </w:tc>
        <w:tc>
          <w:tcPr>
            <w:tcW w:w="1559" w:type="dxa"/>
            <w:tcBorders>
              <w:top w:val="single" w:sz="8" w:space="0" w:color="auto"/>
              <w:left w:val="single" w:sz="8" w:space="0" w:color="auto"/>
              <w:bottom w:val="single" w:sz="8" w:space="0" w:color="auto"/>
              <w:right w:val="single" w:sz="8" w:space="0" w:color="auto"/>
            </w:tcBorders>
            <w:vAlign w:val="center"/>
          </w:tcPr>
          <w:p w:rsidR="00F52A8B" w:rsidRPr="001777CC" w:rsidP="00F12729">
            <w:r w:rsidRPr="001777CC">
              <w:rPr>
                <w:rFonts w:ascii="Arial" w:eastAsia="Arial" w:hAnsi="Arial" w:cs="Arial"/>
                <w:color w:val="000000" w:themeColor="text1"/>
              </w:rPr>
              <w:t>70%</w:t>
            </w:r>
          </w:p>
        </w:tc>
        <w:tc>
          <w:tcPr>
            <w:tcW w:w="2835" w:type="dxa"/>
            <w:tcBorders>
              <w:top w:val="single" w:sz="8" w:space="0" w:color="auto"/>
              <w:left w:val="single" w:sz="8" w:space="0" w:color="auto"/>
              <w:bottom w:val="single" w:sz="8" w:space="0" w:color="auto"/>
              <w:right w:val="single" w:sz="8" w:space="0" w:color="auto"/>
            </w:tcBorders>
            <w:vAlign w:val="center"/>
          </w:tcPr>
          <w:p w:rsidR="00F52A8B" w:rsidRPr="001777CC" w:rsidP="00F12729">
            <w:r w:rsidRPr="001777CC">
              <w:rPr>
                <w:rFonts w:ascii="Arial" w:eastAsia="Arial" w:hAnsi="Arial" w:cs="Arial"/>
              </w:rPr>
              <w:t>62.5% (Q2 2021/22)</w:t>
            </w:r>
          </w:p>
        </w:tc>
      </w:tr>
      <w:tr w:rsidTr="00F12729">
        <w:tblPrEx>
          <w:tblW w:w="10196" w:type="dxa"/>
          <w:tblLayout w:type="fixed"/>
          <w:tblLook w:val="04A0"/>
        </w:tblPrEx>
        <w:tc>
          <w:tcPr>
            <w:tcW w:w="5802" w:type="dxa"/>
            <w:tcBorders>
              <w:top w:val="single" w:sz="8" w:space="0" w:color="auto"/>
              <w:left w:val="single" w:sz="8" w:space="0" w:color="auto"/>
              <w:bottom w:val="single" w:sz="8" w:space="0" w:color="auto"/>
              <w:right w:val="single" w:sz="8" w:space="0" w:color="auto"/>
            </w:tcBorders>
          </w:tcPr>
          <w:p w:rsidR="00F52A8B" w:rsidRPr="001777CC" w:rsidP="00F12729">
            <w:r w:rsidRPr="001777CC">
              <w:rPr>
                <w:rFonts w:ascii="Arial" w:eastAsia="Arial" w:hAnsi="Arial" w:cs="Arial"/>
              </w:rPr>
              <w:t>% of shared services staff satisfied (C)</w:t>
            </w:r>
          </w:p>
        </w:tc>
        <w:tc>
          <w:tcPr>
            <w:tcW w:w="1559" w:type="dxa"/>
            <w:tcBorders>
              <w:top w:val="single" w:sz="8" w:space="0" w:color="auto"/>
              <w:left w:val="single" w:sz="8" w:space="0" w:color="auto"/>
              <w:bottom w:val="single" w:sz="8" w:space="0" w:color="auto"/>
              <w:right w:val="single" w:sz="8" w:space="0" w:color="auto"/>
            </w:tcBorders>
            <w:vAlign w:val="center"/>
          </w:tcPr>
          <w:p w:rsidR="00F52A8B" w:rsidRPr="001777CC" w:rsidP="00F12729">
            <w:r w:rsidRPr="001777CC">
              <w:rPr>
                <w:rFonts w:ascii="Arial" w:eastAsia="Arial" w:hAnsi="Arial" w:cs="Arial"/>
                <w:color w:val="000000" w:themeColor="text1"/>
              </w:rPr>
              <w:t>85%</w:t>
            </w:r>
          </w:p>
        </w:tc>
        <w:tc>
          <w:tcPr>
            <w:tcW w:w="2835" w:type="dxa"/>
            <w:tcBorders>
              <w:top w:val="single" w:sz="8" w:space="0" w:color="auto"/>
              <w:left w:val="single" w:sz="8" w:space="0" w:color="auto"/>
              <w:bottom w:val="single" w:sz="8" w:space="0" w:color="auto"/>
              <w:right w:val="single" w:sz="8" w:space="0" w:color="auto"/>
            </w:tcBorders>
            <w:vAlign w:val="center"/>
          </w:tcPr>
          <w:p w:rsidR="00F52A8B" w:rsidRPr="001777CC" w:rsidP="00F12729">
            <w:r w:rsidRPr="001777CC">
              <w:rPr>
                <w:rFonts w:ascii="Arial" w:eastAsia="Arial" w:hAnsi="Arial" w:cs="Arial"/>
              </w:rPr>
              <w:t>85% (Q3 2021/22)</w:t>
            </w:r>
          </w:p>
        </w:tc>
      </w:tr>
    </w:tbl>
    <w:p w:rsidR="00F52A8B" w:rsidP="00F52A8B">
      <w:pPr>
        <w:rPr>
          <w:rFonts w:ascii="Arial" w:eastAsia="Arial" w:hAnsi="Arial" w:cs="Arial"/>
          <w:color w:val="FFFFFF" w:themeColor="background1"/>
        </w:rPr>
      </w:pPr>
    </w:p>
    <w:p w:rsidR="00F52A8B" w:rsidP="00F52A8B">
      <w:pPr>
        <w:spacing w:after="0" w:line="240" w:lineRule="auto"/>
        <w:rPr>
          <w:rFonts w:eastAsia="Times New Roman" w:asciiTheme="majorHAnsi" w:hAnsiTheme="majorHAnsi" w:cstheme="majorBidi"/>
          <w:lang w:eastAsia="en-GB"/>
        </w:rPr>
      </w:pPr>
    </w:p>
    <w:p w:rsidR="00F52A8B" w:rsidP="00F52A8B">
      <w:pPr>
        <w:spacing w:after="0" w:line="240" w:lineRule="auto"/>
        <w:rPr>
          <w:rFonts w:eastAsia="Times New Roman" w:asciiTheme="majorHAnsi" w:hAnsiTheme="majorHAnsi" w:cstheme="majorBidi"/>
          <w:lang w:eastAsia="en-GB"/>
        </w:rPr>
      </w:pPr>
    </w:p>
    <w:p w:rsidR="00F52A8B" w:rsidP="00F52A8B">
      <w:pPr>
        <w:pStyle w:val="Heading2"/>
        <w:rPr>
          <w:rFonts w:asciiTheme="majorHAnsi" w:hAnsiTheme="majorHAnsi" w:cstheme="majorBidi"/>
          <w:sz w:val="22"/>
          <w:szCs w:val="22"/>
        </w:rPr>
      </w:pPr>
      <w:r w:rsidRPr="3F0967E1">
        <w:rPr>
          <w:rFonts w:asciiTheme="majorHAnsi" w:hAnsiTheme="majorHAnsi" w:cstheme="majorBidi"/>
          <w:sz w:val="22"/>
          <w:szCs w:val="22"/>
        </w:rPr>
        <w:t>Climate change and air quality</w:t>
      </w:r>
    </w:p>
    <w:p w:rsidR="00F52A8B" w:rsidRPr="00E06F2E" w:rsidP="00F52A8B">
      <w:pPr>
        <w:pStyle w:val="ListParagraph"/>
        <w:numPr>
          <w:ilvl w:val="0"/>
          <w:numId w:val="8"/>
        </w:numPr>
        <w:tabs>
          <w:tab w:val="left" w:pos="567"/>
        </w:tabs>
        <w:spacing w:after="0" w:line="240" w:lineRule="auto"/>
        <w:ind w:left="567" w:right="-284" w:hanging="567"/>
        <w:rPr>
          <w:rFonts w:ascii="Arial" w:eastAsia="Times New Roman" w:hAnsi="Arial" w:cs="Arial"/>
          <w:lang w:eastAsia="en-GB"/>
        </w:rPr>
      </w:pPr>
      <w:r w:rsidRPr="00E06F2E">
        <w:t xml:space="preserve">The work noted in this report does not impact the climate change and </w:t>
      </w:r>
      <w:r w:rsidRPr="00E06F2E">
        <w:t>sustainability targets of the Council</w:t>
      </w:r>
      <w:r>
        <w:t>’</w:t>
      </w:r>
      <w:r w:rsidRPr="00E06F2E">
        <w:t>s Green Agenda and all environmental considerations are in place.</w:t>
      </w:r>
    </w:p>
    <w:p w:rsidR="00F52A8B" w:rsidRPr="004758E2" w:rsidP="00F52A8B">
      <w:pPr>
        <w:tabs>
          <w:tab w:val="left" w:pos="567"/>
        </w:tabs>
        <w:spacing w:line="240" w:lineRule="auto"/>
        <w:ind w:right="-284"/>
        <w:rPr>
          <w:rFonts w:ascii="Arial" w:eastAsia="Times New Roman" w:hAnsi="Arial" w:cs="Arial"/>
          <w:lang w:eastAsia="en-GB"/>
        </w:rPr>
      </w:pPr>
    </w:p>
    <w:p w:rsidR="00F52A8B" w:rsidRPr="00ED4FF1" w:rsidP="00F52A8B">
      <w:pPr>
        <w:pStyle w:val="Heading2"/>
        <w:spacing w:before="0" w:beforeAutospacing="0"/>
        <w:rPr>
          <w:rFonts w:asciiTheme="majorHAnsi" w:hAnsiTheme="majorHAnsi" w:cstheme="majorBidi"/>
          <w:sz w:val="22"/>
          <w:szCs w:val="22"/>
        </w:rPr>
      </w:pPr>
      <w:r w:rsidRPr="3F0967E1">
        <w:rPr>
          <w:rFonts w:asciiTheme="majorHAnsi" w:hAnsiTheme="majorHAnsi" w:cstheme="majorBidi"/>
          <w:sz w:val="22"/>
          <w:szCs w:val="22"/>
        </w:rPr>
        <w:t>Equality and diversity</w:t>
      </w:r>
    </w:p>
    <w:p w:rsidR="00F52A8B" w:rsidP="00F52A8B">
      <w:pPr>
        <w:numPr>
          <w:ilvl w:val="0"/>
          <w:numId w:val="8"/>
        </w:numPr>
        <w:spacing w:after="0" w:line="240" w:lineRule="auto"/>
        <w:jc w:val="both"/>
      </w:pPr>
      <w:r w:rsidRPr="72C41A2D">
        <w:t xml:space="preserve">Consideration of equality and diversity implications are given when the corporate strategy and business plans are produced. </w:t>
      </w:r>
    </w:p>
    <w:p w:rsidR="00F52A8B" w:rsidP="00F52A8B">
      <w:pPr>
        <w:pStyle w:val="Heading2"/>
        <w:rPr>
          <w:rFonts w:asciiTheme="majorHAnsi" w:hAnsiTheme="majorHAnsi" w:cstheme="majorHAnsi"/>
          <w:sz w:val="22"/>
          <w:szCs w:val="22"/>
        </w:rPr>
      </w:pPr>
      <w:r>
        <w:rPr>
          <w:rFonts w:asciiTheme="majorHAnsi" w:hAnsiTheme="majorHAnsi" w:cstheme="majorHAnsi"/>
          <w:sz w:val="22"/>
          <w:szCs w:val="22"/>
        </w:rPr>
        <w:t>Risk</w:t>
      </w:r>
    </w:p>
    <w:p w:rsidR="00F52A8B" w:rsidRPr="004758E2" w:rsidP="00F52A8B">
      <w:pPr>
        <w:pStyle w:val="Heading2"/>
        <w:numPr>
          <w:ilvl w:val="0"/>
          <w:numId w:val="8"/>
        </w:numPr>
        <w:rPr>
          <w:rFonts w:asciiTheme="majorHAnsi" w:hAnsiTheme="majorHAnsi" w:cstheme="majorBidi"/>
          <w:b w:val="0"/>
          <w:sz w:val="22"/>
          <w:szCs w:val="22"/>
        </w:rPr>
      </w:pPr>
      <w:r w:rsidRPr="72C41A2D">
        <w:rPr>
          <w:rFonts w:asciiTheme="majorHAnsi" w:hAnsiTheme="majorHAnsi" w:cstheme="majorBidi"/>
          <w:b w:val="0"/>
          <w:sz w:val="22"/>
          <w:szCs w:val="22"/>
        </w:rPr>
        <w:t>The services maintain service risk registers to manage any potential risks to the delivery of key projects and services.</w:t>
      </w:r>
    </w:p>
    <w:p w:rsidR="00F52A8B" w:rsidRPr="00ED4FF1" w:rsidP="00F52A8B">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Comme</w:t>
      </w:r>
      <w:r w:rsidRPr="00ED4FF1">
        <w:rPr>
          <w:rFonts w:asciiTheme="majorHAnsi" w:hAnsiTheme="majorHAnsi" w:cstheme="majorHAnsi"/>
          <w:sz w:val="22"/>
          <w:szCs w:val="22"/>
        </w:rPr>
        <w:t>nts of the Statutory Finance Officer</w:t>
      </w:r>
    </w:p>
    <w:p w:rsidR="00F52A8B" w:rsidRPr="00883AC9" w:rsidP="00F52A8B">
      <w:pPr>
        <w:numPr>
          <w:ilvl w:val="0"/>
          <w:numId w:val="8"/>
        </w:numPr>
        <w:spacing w:after="0" w:line="240" w:lineRule="auto"/>
        <w:jc w:val="both"/>
      </w:pPr>
      <w:r>
        <w:t>No comments</w:t>
      </w:r>
    </w:p>
    <w:p w:rsidR="00F52A8B" w:rsidRPr="00D4431F" w:rsidP="00F52A8B">
      <w:pPr>
        <w:spacing w:after="0" w:line="240" w:lineRule="auto"/>
        <w:ind w:left="720"/>
        <w:jc w:val="both"/>
        <w:rPr>
          <w:rFonts w:cstheme="minorHAnsi"/>
          <w:bCs/>
        </w:rPr>
      </w:pPr>
    </w:p>
    <w:p w:rsidR="00F52A8B" w:rsidRPr="00ED4FF1" w:rsidP="00F52A8B">
      <w:pPr>
        <w:pStyle w:val="Heading2"/>
        <w:spacing w:before="0" w:beforeAutospacing="0"/>
        <w:rPr>
          <w:rFonts w:asciiTheme="majorHAnsi" w:hAnsiTheme="majorHAnsi" w:cstheme="majorHAnsi"/>
          <w:sz w:val="22"/>
          <w:szCs w:val="22"/>
        </w:rPr>
      </w:pPr>
      <w:r w:rsidRPr="698CBF94">
        <w:rPr>
          <w:rFonts w:asciiTheme="majorHAnsi" w:hAnsiTheme="majorHAnsi" w:cstheme="majorBidi"/>
          <w:sz w:val="22"/>
          <w:szCs w:val="22"/>
        </w:rPr>
        <w:t>Comments of the Monitoring Officer</w:t>
      </w:r>
    </w:p>
    <w:p w:rsidR="00F52A8B" w:rsidP="00F52A8B">
      <w:pPr>
        <w:numPr>
          <w:ilvl w:val="0"/>
          <w:numId w:val="8"/>
        </w:numPr>
        <w:spacing w:after="0" w:line="240" w:lineRule="auto"/>
        <w:jc w:val="both"/>
        <w:rPr>
          <w:rFonts w:eastAsiaTheme="minorEastAsia"/>
        </w:rPr>
      </w:pPr>
      <w:r>
        <w:t>No comments</w:t>
      </w:r>
    </w:p>
    <w:p w:rsidR="00F52A8B" w:rsidRPr="00D1305C" w:rsidP="00F52A8B">
      <w:pPr>
        <w:spacing w:after="0" w:line="240" w:lineRule="auto"/>
        <w:ind w:left="720"/>
        <w:jc w:val="both"/>
        <w:rPr>
          <w:rFonts w:cstheme="minorHAnsi"/>
          <w:bCs/>
        </w:rPr>
      </w:pPr>
    </w:p>
    <w:p w:rsidR="00F52A8B" w:rsidRPr="00D1305C" w:rsidP="00F52A8B">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There are no background papers to this report</w:t>
      </w:r>
    </w:p>
    <w:p w:rsidR="00F52A8B" w:rsidRPr="00D4431F" w:rsidP="00F52A8B">
      <w:pPr>
        <w:spacing w:line="240" w:lineRule="auto"/>
        <w:jc w:val="both"/>
        <w:rPr>
          <w:rFonts w:cstheme="minorHAnsi"/>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50"/>
        <w:gridCol w:w="3399"/>
        <w:gridCol w:w="1466"/>
        <w:gridCol w:w="1193"/>
      </w:tblGrid>
      <w:tr w:rsidTr="00F12729">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856" w:type="dxa"/>
            <w:shd w:val="clear" w:color="auto" w:fill="auto"/>
          </w:tcPr>
          <w:p w:rsidR="00F52A8B" w:rsidRPr="00D4431F" w:rsidP="00F12729">
            <w:pPr>
              <w:spacing w:line="240" w:lineRule="auto"/>
              <w:jc w:val="both"/>
              <w:rPr>
                <w:rFonts w:cstheme="minorHAnsi"/>
                <w:bCs/>
              </w:rPr>
            </w:pPr>
            <w:r w:rsidRPr="00D4431F">
              <w:rPr>
                <w:rFonts w:cstheme="minorHAnsi"/>
                <w:bCs/>
              </w:rPr>
              <w:t>Report Author:</w:t>
            </w:r>
          </w:p>
        </w:tc>
        <w:tc>
          <w:tcPr>
            <w:tcW w:w="2835" w:type="dxa"/>
          </w:tcPr>
          <w:p w:rsidR="00F52A8B" w:rsidRPr="00D4431F" w:rsidP="00F12729">
            <w:pPr>
              <w:spacing w:line="240" w:lineRule="auto"/>
              <w:jc w:val="both"/>
              <w:rPr>
                <w:rFonts w:cstheme="minorHAnsi"/>
                <w:bCs/>
              </w:rPr>
            </w:pPr>
            <w:r w:rsidRPr="00D4431F">
              <w:rPr>
                <w:rFonts w:cstheme="minorHAnsi"/>
                <w:bCs/>
              </w:rPr>
              <w:t>Email:</w:t>
            </w:r>
          </w:p>
        </w:tc>
        <w:tc>
          <w:tcPr>
            <w:tcW w:w="1560" w:type="dxa"/>
            <w:shd w:val="clear" w:color="auto" w:fill="auto"/>
          </w:tcPr>
          <w:p w:rsidR="00F52A8B" w:rsidRPr="00D4431F" w:rsidP="00F12729">
            <w:pPr>
              <w:spacing w:line="240" w:lineRule="auto"/>
              <w:jc w:val="both"/>
              <w:rPr>
                <w:rFonts w:cstheme="minorHAnsi"/>
                <w:bCs/>
              </w:rPr>
            </w:pPr>
            <w:r w:rsidRPr="00D4431F">
              <w:rPr>
                <w:rFonts w:cstheme="minorHAnsi"/>
                <w:bCs/>
              </w:rPr>
              <w:t>Telephone:</w:t>
            </w:r>
          </w:p>
        </w:tc>
        <w:tc>
          <w:tcPr>
            <w:tcW w:w="1269" w:type="dxa"/>
            <w:shd w:val="clear" w:color="auto" w:fill="auto"/>
          </w:tcPr>
          <w:p w:rsidR="00F52A8B" w:rsidRPr="00D4431F" w:rsidP="00F12729">
            <w:pPr>
              <w:spacing w:line="240" w:lineRule="auto"/>
              <w:jc w:val="both"/>
              <w:rPr>
                <w:rFonts w:cstheme="minorHAnsi"/>
                <w:bCs/>
              </w:rPr>
            </w:pPr>
            <w:r w:rsidRPr="00D4431F">
              <w:rPr>
                <w:rFonts w:cstheme="minorHAnsi"/>
                <w:bCs/>
              </w:rPr>
              <w:t>Date:</w:t>
            </w:r>
          </w:p>
        </w:tc>
      </w:tr>
      <w:tr w:rsidTr="00F12729">
        <w:tblPrEx>
          <w:tblW w:w="0" w:type="auto"/>
          <w:tblInd w:w="108" w:type="dxa"/>
          <w:tblLook w:val="04A0"/>
        </w:tblPrEx>
        <w:tc>
          <w:tcPr>
            <w:tcW w:w="3856" w:type="dxa"/>
            <w:shd w:val="clear" w:color="auto" w:fill="auto"/>
          </w:tcPr>
          <w:p w:rsidR="00F52A8B" w:rsidRPr="00D4431F" w:rsidP="00F12729">
            <w:pPr>
              <w:spacing w:line="240" w:lineRule="auto"/>
              <w:jc w:val="both"/>
              <w:rPr>
                <w:rFonts w:cstheme="minorHAnsi"/>
                <w:bCs/>
              </w:rPr>
            </w:pPr>
            <w:r w:rsidRPr="00D4431F">
              <w:rPr>
                <w:rFonts w:cstheme="minorHAnsi"/>
                <w:bCs/>
              </w:rPr>
              <w:fldChar w:fldCharType="begin"/>
            </w:r>
            <w:r w:rsidRPr="00D4431F">
              <w:rPr>
                <w:rFonts w:cstheme="minorHAnsi"/>
                <w:bCs/>
              </w:rPr>
              <w:instrText xml:space="preserve"> DOCPROPERTY  LeadOfficer  \* MERGEFORMAT </w:instrText>
            </w:r>
            <w:r w:rsidRPr="00D4431F">
              <w:rPr>
                <w:rFonts w:cstheme="minorHAnsi"/>
                <w:bCs/>
              </w:rPr>
              <w:fldChar w:fldCharType="separate"/>
            </w:r>
            <w:r>
              <w:rPr>
                <w:rFonts w:cstheme="minorHAnsi"/>
                <w:bCs/>
              </w:rPr>
              <w:t>Chris Sinnott</w:t>
            </w:r>
            <w:r w:rsidRPr="00D4431F">
              <w:rPr>
                <w:rFonts w:cstheme="minorHAnsi"/>
                <w:bCs/>
                <w:lang w:val="en-US"/>
              </w:rPr>
              <w:fldChar w:fldCharType="end"/>
            </w:r>
            <w:r w:rsidRPr="00D4431F">
              <w:rPr>
                <w:rFonts w:cstheme="minorHAnsi"/>
                <w:bCs/>
              </w:rPr>
              <w:t xml:space="preserve"> (</w:t>
            </w:r>
            <w:r>
              <w:rPr>
                <w:rFonts w:cstheme="minorHAnsi"/>
                <w:bCs/>
              </w:rPr>
              <w:fldChar w:fldCharType="begin"/>
            </w:r>
            <w:r>
              <w:rPr>
                <w:rFonts w:cstheme="minorHAnsi"/>
                <w:bCs/>
              </w:rPr>
              <w:instrText xml:space="preserve"> DOCPROPERTY  LeadOfficerPost  \* MERGEFORMAT </w:instrText>
            </w:r>
            <w:r>
              <w:rPr>
                <w:rFonts w:cstheme="minorHAnsi"/>
                <w:bCs/>
              </w:rPr>
              <w:fldChar w:fldCharType="separate"/>
            </w:r>
            <w:r>
              <w:rPr>
                <w:rFonts w:cstheme="minorHAnsi"/>
                <w:bCs/>
              </w:rPr>
              <w:t>Deputy Chief Executive</w:t>
            </w:r>
            <w:r>
              <w:rPr>
                <w:rFonts w:cstheme="minorHAnsi"/>
                <w:bCs/>
              </w:rPr>
              <w:fldChar w:fldCharType="end"/>
            </w:r>
            <w:r w:rsidRPr="00D4431F">
              <w:rPr>
                <w:rFonts w:cstheme="minorHAnsi"/>
                <w:bCs/>
              </w:rPr>
              <w:t>)</w:t>
            </w:r>
          </w:p>
        </w:tc>
        <w:tc>
          <w:tcPr>
            <w:tcW w:w="2835" w:type="dxa"/>
          </w:tcPr>
          <w:p w:rsidR="00F52A8B" w:rsidRPr="00D4431F" w:rsidP="00F12729">
            <w:pPr>
              <w:spacing w:line="240" w:lineRule="auto"/>
              <w:jc w:val="both"/>
              <w:rPr>
                <w:rFonts w:cstheme="minorHAnsi"/>
                <w:bCs/>
              </w:rPr>
            </w:pPr>
            <w:r>
              <w:rPr>
                <w:rFonts w:cstheme="minorHAnsi"/>
                <w:bCs/>
              </w:rPr>
              <w:fldChar w:fldCharType="begin"/>
            </w:r>
            <w:r>
              <w:rPr>
                <w:rFonts w:cstheme="minorHAnsi"/>
                <w:bCs/>
              </w:rPr>
              <w:instrText xml:space="preserve"> DOCPROPERTY  LeadOfficerEmail  \* MERGEFORMAT </w:instrText>
            </w:r>
            <w:r>
              <w:rPr>
                <w:rFonts w:cstheme="minorHAnsi"/>
                <w:bCs/>
              </w:rPr>
              <w:fldChar w:fldCharType="separate"/>
            </w:r>
            <w:r>
              <w:rPr>
                <w:rFonts w:cstheme="minorHAnsi"/>
                <w:bCs/>
              </w:rPr>
              <w:t>chris.sinnott@chorley.gov.uk</w:t>
            </w:r>
            <w:r>
              <w:rPr>
                <w:rFonts w:cstheme="minorHAnsi"/>
                <w:bCs/>
              </w:rPr>
              <w:fldChar w:fldCharType="end"/>
            </w:r>
          </w:p>
        </w:tc>
        <w:tc>
          <w:tcPr>
            <w:tcW w:w="1560" w:type="dxa"/>
            <w:shd w:val="clear" w:color="auto" w:fill="auto"/>
          </w:tcPr>
          <w:p w:rsidR="00F52A8B" w:rsidRPr="00D4431F" w:rsidP="00F12729">
            <w:pPr>
              <w:spacing w:line="240" w:lineRule="auto"/>
              <w:jc w:val="both"/>
              <w:rPr>
                <w:rFonts w:cstheme="minorHAnsi"/>
                <w:bCs/>
              </w:rPr>
            </w:pPr>
            <w:r>
              <w:rPr>
                <w:rFonts w:cstheme="minorHAnsi"/>
                <w:bCs/>
              </w:rPr>
              <w:t>01257 515337</w:t>
            </w:r>
          </w:p>
        </w:tc>
        <w:tc>
          <w:tcPr>
            <w:tcW w:w="1269" w:type="dxa"/>
            <w:shd w:val="clear" w:color="auto" w:fill="auto"/>
          </w:tcPr>
          <w:p w:rsidR="00F52A8B" w:rsidRPr="00D4431F" w:rsidP="00F12729">
            <w:pPr>
              <w:spacing w:line="240" w:lineRule="auto"/>
              <w:jc w:val="both"/>
              <w:rPr>
                <w:rFonts w:cstheme="minorHAnsi"/>
                <w:bCs/>
              </w:rPr>
            </w:pPr>
            <w:r>
              <w:rPr>
                <w:rFonts w:cstheme="minorHAnsi"/>
                <w:bCs/>
              </w:rPr>
              <w:t>17/12/21</w:t>
            </w:r>
          </w:p>
        </w:tc>
      </w:tr>
    </w:tbl>
    <w:p w:rsidR="00F52A8B" w:rsidRPr="005C459D" w:rsidP="00F52A8B">
      <w:pPr>
        <w:rPr>
          <w:rFonts w:cstheme="minorHAnsi"/>
          <w:bCs/>
          <w:color w:val="000000" w:themeColor="text1"/>
          <w:lang w:val="en-US"/>
        </w:rPr>
      </w:pPr>
    </w:p>
    <w:p w:rsidR="00F52A8B" w:rsidP="000179AF">
      <w:pPr>
        <w:pStyle w:val="Heading1"/>
        <w:rPr>
          <w:rFonts w:asciiTheme="majorHAnsi" w:hAnsiTheme="majorHAnsi" w:cstheme="majorHAnsi"/>
          <w:sz w:val="22"/>
        </w:rPr>
      </w:pPr>
    </w:p>
    <w:sectPr w:rsidSect="00D4431F">
      <w:headerReference w:type="default" r:id="rI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42B2">
    <w:pPr>
      <w:pStyle w:val="Header"/>
    </w:pPr>
  </w:p>
  <w:p w:rsidR="00CF42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D682B4B"/>
    <w:multiLevelType w:val="hybridMultilevel"/>
    <w:tmpl w:val="27D0AF2A"/>
    <w:lvl w:ilvl="0">
      <w:start w:val="1"/>
      <w:numFmt w:val="bullet"/>
      <w:lvlText w:val=""/>
      <w:lvlJc w:val="left"/>
      <w:pPr>
        <w:ind w:left="990" w:hanging="360"/>
      </w:pPr>
      <w:rPr>
        <w:rFonts w:ascii="Symbol" w:hAnsi="Symbol" w:hint="default"/>
      </w:rPr>
    </w:lvl>
    <w:lvl w:ilvl="1" w:tentative="1">
      <w:start w:val="1"/>
      <w:numFmt w:val="bullet"/>
      <w:lvlText w:val="o"/>
      <w:lvlJc w:val="left"/>
      <w:pPr>
        <w:ind w:left="1710" w:hanging="360"/>
      </w:pPr>
      <w:rPr>
        <w:rFonts w:ascii="Courier New" w:hAnsi="Courier New" w:cs="Courier New" w:hint="default"/>
      </w:rPr>
    </w:lvl>
    <w:lvl w:ilvl="2" w:tentative="1">
      <w:start w:val="1"/>
      <w:numFmt w:val="bullet"/>
      <w:lvlText w:val=""/>
      <w:lvlJc w:val="left"/>
      <w:pPr>
        <w:ind w:left="2430" w:hanging="360"/>
      </w:pPr>
      <w:rPr>
        <w:rFonts w:ascii="Wingdings" w:hAnsi="Wingdings" w:hint="default"/>
      </w:rPr>
    </w:lvl>
    <w:lvl w:ilvl="3" w:tentative="1">
      <w:start w:val="1"/>
      <w:numFmt w:val="bullet"/>
      <w:lvlText w:val=""/>
      <w:lvlJc w:val="left"/>
      <w:pPr>
        <w:ind w:left="3150" w:hanging="360"/>
      </w:pPr>
      <w:rPr>
        <w:rFonts w:ascii="Symbol" w:hAnsi="Symbol" w:hint="default"/>
      </w:rPr>
    </w:lvl>
    <w:lvl w:ilvl="4" w:tentative="1">
      <w:start w:val="1"/>
      <w:numFmt w:val="bullet"/>
      <w:lvlText w:val="o"/>
      <w:lvlJc w:val="left"/>
      <w:pPr>
        <w:ind w:left="3870" w:hanging="360"/>
      </w:pPr>
      <w:rPr>
        <w:rFonts w:ascii="Courier New" w:hAnsi="Courier New" w:cs="Courier New" w:hint="default"/>
      </w:rPr>
    </w:lvl>
    <w:lvl w:ilvl="5" w:tentative="1">
      <w:start w:val="1"/>
      <w:numFmt w:val="bullet"/>
      <w:lvlText w:val=""/>
      <w:lvlJc w:val="left"/>
      <w:pPr>
        <w:ind w:left="4590" w:hanging="360"/>
      </w:pPr>
      <w:rPr>
        <w:rFonts w:ascii="Wingdings" w:hAnsi="Wingdings" w:hint="default"/>
      </w:rPr>
    </w:lvl>
    <w:lvl w:ilvl="6" w:tentative="1">
      <w:start w:val="1"/>
      <w:numFmt w:val="bullet"/>
      <w:lvlText w:val=""/>
      <w:lvlJc w:val="left"/>
      <w:pPr>
        <w:ind w:left="5310" w:hanging="360"/>
      </w:pPr>
      <w:rPr>
        <w:rFonts w:ascii="Symbol" w:hAnsi="Symbol" w:hint="default"/>
      </w:rPr>
    </w:lvl>
    <w:lvl w:ilvl="7" w:tentative="1">
      <w:start w:val="1"/>
      <w:numFmt w:val="bullet"/>
      <w:lvlText w:val="o"/>
      <w:lvlJc w:val="left"/>
      <w:pPr>
        <w:ind w:left="6030" w:hanging="360"/>
      </w:pPr>
      <w:rPr>
        <w:rFonts w:ascii="Courier New" w:hAnsi="Courier New" w:cs="Courier New" w:hint="default"/>
      </w:rPr>
    </w:lvl>
    <w:lvl w:ilvl="8" w:tentative="1">
      <w:start w:val="1"/>
      <w:numFmt w:val="bullet"/>
      <w:lvlText w:val=""/>
      <w:lvlJc w:val="left"/>
      <w:pPr>
        <w:ind w:left="6750" w:hanging="360"/>
      </w:pPr>
      <w:rPr>
        <w:rFonts w:ascii="Wingdings" w:hAnsi="Wingdings" w:hint="default"/>
      </w:rPr>
    </w:lvl>
  </w:abstractNum>
  <w:abstractNum w:abstractNumId="1">
    <w:nsid w:val="3B0324D4"/>
    <w:multiLevelType w:val="hybridMultilevel"/>
    <w:tmpl w:val="0CE2B5E6"/>
    <w:lvl w:ilvl="0">
      <w:start w:val="1"/>
      <w:numFmt w:val="bullet"/>
      <w:lvlText w:val=""/>
      <w:lvlJc w:val="left"/>
      <w:pPr>
        <w:ind w:left="720" w:hanging="360"/>
      </w:pPr>
      <w:rPr>
        <w:rFonts w:ascii="Symbol" w:hAnsi="Symbol" w:hint="default"/>
        <w:color w:val="7FC444"/>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50DE1C48"/>
    <w:multiLevelType w:val="hybridMultilevel"/>
    <w:tmpl w:val="4EB62536"/>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3EC42E2"/>
    <w:multiLevelType w:val="hybridMultilevel"/>
    <w:tmpl w:val="37ECB20A"/>
    <w:lvl w:ilvl="0">
      <w:start w:val="1"/>
      <w:numFmt w:val="bullet"/>
      <w:lvlText w:val=""/>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597811DD"/>
    <w:multiLevelType w:val="hybridMultilevel"/>
    <w:tmpl w:val="FA5C2D5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5C4D2CDE"/>
    <w:multiLevelType w:val="hybridMultilevel"/>
    <w:tmpl w:val="5B6827D0"/>
    <w:lvl w:ilvl="0">
      <w:start w:val="1"/>
      <w:numFmt w:val="bullet"/>
      <w:lvlText w:val=""/>
      <w:lvlJc w:val="left"/>
      <w:pPr>
        <w:ind w:left="720" w:hanging="360"/>
      </w:pPr>
      <w:rPr>
        <w:rFonts w:ascii="Symbol" w:hAnsi="Symbol" w:hint="default"/>
        <w:color w:val="7FC44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5EBF00E5"/>
    <w:multiLevelType w:val="hybridMultilevel"/>
    <w:tmpl w:val="D636561A"/>
    <w:lvl w:ilvl="0">
      <w:start w:val="1"/>
      <w:numFmt w:val="decimal"/>
      <w:lvlText w:val="%1."/>
      <w:lvlJc w:val="left"/>
      <w:pPr>
        <w:ind w:left="360" w:hanging="360"/>
      </w:pPr>
      <w:rPr>
        <w:rFonts w:ascii="Arial" w:hAnsi="Arial" w:hint="default"/>
        <w:b w:val="0"/>
        <w:bCs w:val="0"/>
        <w:i w:val="0"/>
        <w:color w:val="auto"/>
        <w:sz w:val="22"/>
        <w:szCs w:val="22"/>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687524EC"/>
    <w:multiLevelType w:val="hybridMultilevel"/>
    <w:tmpl w:val="C83AE318"/>
    <w:lvl w:ilvl="0">
      <w:start w:val="1"/>
      <w:numFmt w:val="bullet"/>
      <w:lvlText w:val=""/>
      <w:lvlJc w:val="left"/>
      <w:pPr>
        <w:ind w:left="720" w:hanging="360"/>
      </w:pPr>
      <w:rPr>
        <w:rFonts w:ascii="Symbol" w:hAnsi="Symbol" w:hint="default"/>
        <w:color w:val="7FC44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6E981066"/>
    <w:multiLevelType w:val="hybridMultilevel"/>
    <w:tmpl w:val="29A03522"/>
    <w:lvl w:ilvl="0">
      <w:start w:val="1"/>
      <w:numFmt w:val="bullet"/>
      <w:lvlText w:val=""/>
      <w:lvlJc w:val="left"/>
      <w:pPr>
        <w:ind w:left="720" w:hanging="360"/>
      </w:pPr>
      <w:rPr>
        <w:rFonts w:ascii="Symbol" w:hAnsi="Symbol" w:hint="default"/>
        <w:color w:val="7FC44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7C6872A1"/>
    <w:multiLevelType w:val="hybridMultilevel"/>
    <w:tmpl w:val="700E460A"/>
    <w:lvl w:ilvl="0">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7FEF54B2"/>
    <w:multiLevelType w:val="hybridMultilevel"/>
    <w:tmpl w:val="75B62AC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9"/>
  </w:num>
  <w:num w:numId="2">
    <w:abstractNumId w:val="8"/>
  </w:num>
  <w:num w:numId="3">
    <w:abstractNumId w:val="5"/>
  </w:num>
  <w:num w:numId="4">
    <w:abstractNumId w:val="7"/>
  </w:num>
  <w:num w:numId="5">
    <w:abstractNumId w:val="3"/>
  </w:num>
  <w:num w:numId="6">
    <w:abstractNumId w:val="0"/>
  </w:num>
  <w:num w:numId="7">
    <w:abstractNumId w:val="1"/>
  </w:num>
  <w:num w:numId="8">
    <w:abstractNumId w:val="6"/>
  </w:num>
  <w:num w:numId="9">
    <w:abstractNumId w:val="10"/>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 w:type="character" w:styleId="CommentReference">
    <w:name w:val="annotation reference"/>
    <w:basedOn w:val="DefaultParagraphFont"/>
    <w:uiPriority w:val="99"/>
    <w:semiHidden/>
    <w:unhideWhenUsed/>
    <w:rsid w:val="00F52A8B"/>
    <w:rPr>
      <w:sz w:val="16"/>
      <w:szCs w:val="16"/>
    </w:rPr>
  </w:style>
  <w:style w:type="paragraph" w:styleId="CommentText">
    <w:name w:val="annotation text"/>
    <w:basedOn w:val="Normal"/>
    <w:link w:val="CommentTextChar"/>
    <w:uiPriority w:val="99"/>
    <w:semiHidden/>
    <w:unhideWhenUsed/>
    <w:rsid w:val="00F52A8B"/>
    <w:pPr>
      <w:spacing w:line="240" w:lineRule="auto"/>
    </w:pPr>
    <w:rPr>
      <w:sz w:val="20"/>
      <w:szCs w:val="20"/>
    </w:rPr>
  </w:style>
  <w:style w:type="character" w:customStyle="1" w:styleId="CommentTextChar">
    <w:name w:val="Comment Text Char"/>
    <w:basedOn w:val="DefaultParagraphFont"/>
    <w:link w:val="CommentText"/>
    <w:uiPriority w:val="99"/>
    <w:semiHidden/>
    <w:rsid w:val="00F52A8B"/>
    <w:rPr>
      <w:sz w:val="20"/>
      <w:szCs w:val="20"/>
    </w:rPr>
  </w:style>
  <w:style w:type="character" w:customStyle="1" w:styleId="Mention1">
    <w:name w:val="Mention1"/>
    <w:basedOn w:val="DefaultParagraphFont"/>
    <w:uiPriority w:val="99"/>
    <w:rsid w:val="00F52A8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CF06EDF-4F7C-4EC3-8773-B13DC640B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8</Pages>
  <Words>2282</Words>
  <Characters>13008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15260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Chris Sinnott</cp:lastModifiedBy>
  <cp:revision>11</cp:revision>
  <cp:lastPrinted>2014-03-21T13:56:00Z</cp:lastPrinted>
  <dcterms:created xsi:type="dcterms:W3CDTF">2021-09-15T12:16:00Z</dcterms:created>
  <dcterms:modified xsi:type="dcterms:W3CDTF">2021-12-17T13:38:00Z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Scrutiny Committee</vt:lpwstr>
  </property>
  <property fmtid="{D5CDD505-2E9C-101B-9397-08002B2CF9AE}" pid="3" name="IssueTitle">
    <vt:lpwstr>Scrutiny Portfolio Update: Strategy and Reform</vt:lpwstr>
  </property>
  <property fmtid="{D5CDD505-2E9C-101B-9397-08002B2CF9AE}" pid="4" name="LeadDirector">
    <vt:lpwstr>Deputy Chief Executive</vt:lpwstr>
  </property>
  <property fmtid="{D5CDD505-2E9C-101B-9397-08002B2CF9AE}" pid="5" name="LeadMember">
    <vt:lpwstr/>
  </property>
  <property fmtid="{D5CDD505-2E9C-101B-9397-08002B2CF9AE}" pid="6" name="LeadOfficer">
    <vt:lpwstr>Chris Sinnott</vt:lpwstr>
  </property>
  <property fmtid="{D5CDD505-2E9C-101B-9397-08002B2CF9AE}" pid="7" name="LeadOfficerEmail">
    <vt:lpwstr>chris.sinnott@chorley.gov.uk</vt:lpwstr>
  </property>
  <property fmtid="{D5CDD505-2E9C-101B-9397-08002B2CF9AE}" pid="8" name="LeadOfficerPost">
    <vt:lpwstr>Deputy Chief Executive</vt:lpwstr>
  </property>
  <property fmtid="{D5CDD505-2E9C-101B-9397-08002B2CF9AE}" pid="9" name="MeetingDate">
    <vt:lpwstr>Tuesday, 11 January 2022</vt:lpwstr>
  </property>
  <property fmtid="{D5CDD505-2E9C-101B-9397-08002B2CF9AE}" pid="10" name="MeetingDateLegal">
    <vt:lpwstr>MeetingDateLegal</vt:lpwstr>
  </property>
</Properties>
</file>